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C8FCC4" w14:textId="77777777" w:rsidR="00B36B89" w:rsidRPr="00FD7602" w:rsidRDefault="00B36B89" w:rsidP="00486FDC">
      <w:pPr>
        <w:spacing w:before="240"/>
        <w:rPr>
          <w:rFonts w:ascii="Garamond" w:eastAsia="Arial Nova" w:hAnsi="Garamond"/>
          <w:noProof/>
          <w:sz w:val="22"/>
          <w:szCs w:val="22"/>
        </w:rPr>
      </w:pPr>
      <w:bookmarkStart w:id="0" w:name="_Hlk188906121"/>
      <w:bookmarkEnd w:id="0"/>
      <w:r w:rsidRPr="00FD7602">
        <w:rPr>
          <w:rFonts w:ascii="Garamond" w:eastAsia="Arial Nova" w:hAnsi="Garamond"/>
          <w:noProof/>
          <w:sz w:val="22"/>
          <w:szCs w:val="22"/>
        </w:rPr>
        <w:t xml:space="preserve">  </w:t>
      </w:r>
    </w:p>
    <w:p w14:paraId="3895AD11" w14:textId="77777777" w:rsidR="00B36B89" w:rsidRPr="00FD7602" w:rsidRDefault="00B36B89" w:rsidP="00AE7FD8">
      <w:pPr>
        <w:spacing w:before="240"/>
        <w:jc w:val="center"/>
        <w:rPr>
          <w:rFonts w:ascii="Garamond" w:eastAsia="Arial Nova" w:hAnsi="Garamond"/>
          <w:b/>
          <w:bCs/>
          <w:noProof/>
          <w:sz w:val="22"/>
          <w:szCs w:val="22"/>
        </w:rPr>
      </w:pPr>
      <w:r w:rsidRPr="00FD7602">
        <w:rPr>
          <w:rFonts w:ascii="Garamond" w:eastAsia="Arial Nova" w:hAnsi="Garamond"/>
          <w:b/>
          <w:bCs/>
          <w:noProof/>
          <w:sz w:val="22"/>
          <w:szCs w:val="22"/>
        </w:rPr>
        <w:t>ESTUDIO DEL SECTOR</w:t>
      </w:r>
    </w:p>
    <w:p w14:paraId="611D320D" w14:textId="77777777" w:rsidR="00B36B89" w:rsidRPr="00FD7602" w:rsidRDefault="00B36B89" w:rsidP="00AE7FD8">
      <w:pPr>
        <w:spacing w:before="240"/>
        <w:jc w:val="center"/>
        <w:rPr>
          <w:rFonts w:ascii="Garamond" w:eastAsia="Arial Nova" w:hAnsi="Garamond"/>
          <w:noProof/>
          <w:sz w:val="22"/>
          <w:szCs w:val="22"/>
        </w:rPr>
      </w:pPr>
    </w:p>
    <w:p w14:paraId="38160480" w14:textId="77777777" w:rsidR="00486FDC" w:rsidRPr="00FD7602" w:rsidRDefault="00486FDC" w:rsidP="00AE7FD8">
      <w:pPr>
        <w:spacing w:before="240"/>
        <w:jc w:val="center"/>
        <w:rPr>
          <w:rFonts w:ascii="Garamond" w:eastAsia="Arial Nova" w:hAnsi="Garamond"/>
          <w:noProof/>
          <w:sz w:val="22"/>
          <w:szCs w:val="22"/>
        </w:rPr>
      </w:pPr>
    </w:p>
    <w:p w14:paraId="3FB76BEE" w14:textId="77777777" w:rsidR="00F67FCB" w:rsidRPr="00FD7602" w:rsidRDefault="00F67FCB" w:rsidP="00AE7FD8">
      <w:pPr>
        <w:spacing w:before="240"/>
        <w:jc w:val="center"/>
        <w:rPr>
          <w:rFonts w:ascii="Garamond" w:eastAsia="Arial Nova" w:hAnsi="Garamond"/>
          <w:noProof/>
          <w:sz w:val="22"/>
          <w:szCs w:val="22"/>
        </w:rPr>
      </w:pPr>
    </w:p>
    <w:p w14:paraId="7AB46399" w14:textId="77777777" w:rsidR="00486FDC" w:rsidRPr="00FD7602" w:rsidRDefault="00486FDC" w:rsidP="003E65C3">
      <w:pPr>
        <w:spacing w:before="240"/>
        <w:rPr>
          <w:rFonts w:ascii="Garamond" w:eastAsia="Arial Nova" w:hAnsi="Garamond"/>
          <w:noProof/>
          <w:sz w:val="22"/>
          <w:szCs w:val="22"/>
        </w:rPr>
      </w:pPr>
    </w:p>
    <w:p w14:paraId="755DD220" w14:textId="77777777" w:rsidR="008374D5" w:rsidRPr="00FD7602" w:rsidRDefault="00B36B89" w:rsidP="00AE7FD8">
      <w:pPr>
        <w:spacing w:before="240"/>
        <w:jc w:val="center"/>
        <w:rPr>
          <w:rFonts w:ascii="Garamond" w:eastAsia="Arial Nova" w:hAnsi="Garamond"/>
          <w:b/>
          <w:bCs/>
          <w:noProof/>
          <w:sz w:val="22"/>
          <w:szCs w:val="22"/>
        </w:rPr>
      </w:pPr>
      <w:r w:rsidRPr="00FD7602">
        <w:rPr>
          <w:rFonts w:ascii="Garamond" w:eastAsia="Arial Nova" w:hAnsi="Garamond"/>
          <w:b/>
          <w:bCs/>
          <w:noProof/>
          <w:sz w:val="22"/>
          <w:szCs w:val="22"/>
        </w:rPr>
        <w:t xml:space="preserve">MODALIDAD : </w:t>
      </w:r>
    </w:p>
    <w:p w14:paraId="2B53050C" w14:textId="77777777" w:rsidR="00B36B89" w:rsidRPr="00FD7602" w:rsidRDefault="00B5180C" w:rsidP="00AE7FD8">
      <w:pPr>
        <w:spacing w:before="240"/>
        <w:jc w:val="center"/>
        <w:rPr>
          <w:rFonts w:ascii="Garamond" w:eastAsia="Arial" w:hAnsi="Garamond"/>
          <w:sz w:val="22"/>
          <w:szCs w:val="22"/>
        </w:rPr>
      </w:pPr>
      <w:r w:rsidRPr="00FD7602">
        <w:rPr>
          <w:rFonts w:ascii="Garamond" w:eastAsia="Arial" w:hAnsi="Garamond"/>
          <w:sz w:val="22"/>
          <w:szCs w:val="22"/>
        </w:rPr>
        <w:t xml:space="preserve">CONTRATACIÓN DIRECTA </w:t>
      </w:r>
    </w:p>
    <w:p w14:paraId="2AF554BC" w14:textId="77777777" w:rsidR="00B5180C" w:rsidRPr="00FD7602" w:rsidRDefault="00B5180C" w:rsidP="00AE7FD8">
      <w:pPr>
        <w:spacing w:before="240"/>
        <w:jc w:val="center"/>
        <w:rPr>
          <w:rFonts w:ascii="Garamond" w:eastAsia="Arial" w:hAnsi="Garamond"/>
          <w:sz w:val="22"/>
          <w:szCs w:val="22"/>
        </w:rPr>
      </w:pPr>
      <w:r w:rsidRPr="00FD7602">
        <w:rPr>
          <w:rFonts w:ascii="Garamond" w:eastAsia="Arial" w:hAnsi="Garamond"/>
          <w:sz w:val="22"/>
          <w:szCs w:val="22"/>
        </w:rPr>
        <w:t>CONTRATO INTERADMINISTRATIVO</w:t>
      </w:r>
    </w:p>
    <w:p w14:paraId="20C06CB1" w14:textId="77777777" w:rsidR="002226EE" w:rsidRPr="00FD7602" w:rsidRDefault="002226EE" w:rsidP="00AE7FD8">
      <w:pPr>
        <w:spacing w:before="240"/>
        <w:jc w:val="center"/>
        <w:rPr>
          <w:rFonts w:ascii="Garamond" w:eastAsia="Arial" w:hAnsi="Garamond"/>
          <w:sz w:val="22"/>
          <w:szCs w:val="22"/>
        </w:rPr>
      </w:pPr>
    </w:p>
    <w:p w14:paraId="11168537" w14:textId="77777777" w:rsidR="00486FDC" w:rsidRPr="00FD7602" w:rsidRDefault="00486FDC" w:rsidP="00AE7FD8">
      <w:pPr>
        <w:spacing w:before="240"/>
        <w:jc w:val="center"/>
        <w:rPr>
          <w:rFonts w:ascii="Garamond" w:eastAsia="Arial" w:hAnsi="Garamond"/>
          <w:sz w:val="22"/>
          <w:szCs w:val="22"/>
        </w:rPr>
      </w:pPr>
    </w:p>
    <w:p w14:paraId="28014A53" w14:textId="77777777" w:rsidR="002226EE" w:rsidRPr="00FD7602" w:rsidRDefault="002226EE" w:rsidP="00AE7FD8">
      <w:pPr>
        <w:spacing w:before="240"/>
        <w:jc w:val="center"/>
        <w:rPr>
          <w:rFonts w:ascii="Garamond" w:eastAsia="Arial" w:hAnsi="Garamond"/>
          <w:sz w:val="22"/>
          <w:szCs w:val="22"/>
        </w:rPr>
      </w:pPr>
    </w:p>
    <w:p w14:paraId="548D2698" w14:textId="77777777" w:rsidR="002226EE" w:rsidRPr="00FD7602" w:rsidRDefault="002226EE" w:rsidP="002226EE">
      <w:pPr>
        <w:spacing w:before="240"/>
        <w:jc w:val="center"/>
        <w:rPr>
          <w:rFonts w:ascii="Garamond" w:eastAsia="Arial" w:hAnsi="Garamond"/>
          <w:b/>
          <w:bCs/>
          <w:sz w:val="22"/>
          <w:szCs w:val="22"/>
        </w:rPr>
      </w:pPr>
      <w:r w:rsidRPr="00FD7602">
        <w:rPr>
          <w:rFonts w:ascii="Garamond" w:eastAsia="Arial" w:hAnsi="Garamond"/>
          <w:b/>
          <w:bCs/>
          <w:sz w:val="22"/>
          <w:szCs w:val="22"/>
        </w:rPr>
        <w:t>PROYECTO</w:t>
      </w:r>
      <w:r w:rsidR="00B5180C" w:rsidRPr="00FD7602">
        <w:rPr>
          <w:rFonts w:ascii="Garamond" w:eastAsia="Arial" w:hAnsi="Garamond"/>
          <w:b/>
          <w:bCs/>
          <w:sz w:val="22"/>
          <w:szCs w:val="22"/>
        </w:rPr>
        <w:t xml:space="preserve"> DE INVERSIÓN</w:t>
      </w:r>
      <w:r w:rsidRPr="00FD7602">
        <w:rPr>
          <w:rFonts w:ascii="Garamond" w:eastAsia="Arial" w:hAnsi="Garamond"/>
          <w:b/>
          <w:bCs/>
          <w:sz w:val="22"/>
          <w:szCs w:val="22"/>
        </w:rPr>
        <w:t xml:space="preserve">: </w:t>
      </w:r>
    </w:p>
    <w:p w14:paraId="460E8A42" w14:textId="77777777" w:rsidR="00B5180C" w:rsidRPr="00FD7602" w:rsidRDefault="00B5180C" w:rsidP="002226EE">
      <w:pPr>
        <w:spacing w:before="240"/>
        <w:jc w:val="center"/>
        <w:rPr>
          <w:rFonts w:ascii="Garamond" w:eastAsia="Arial" w:hAnsi="Garamond"/>
          <w:b/>
          <w:bCs/>
          <w:sz w:val="22"/>
          <w:szCs w:val="22"/>
        </w:rPr>
      </w:pPr>
      <w:r w:rsidRPr="00FD7602">
        <w:rPr>
          <w:rFonts w:ascii="Garamond" w:eastAsia="Arial" w:hAnsi="Garamond"/>
          <w:b/>
          <w:bCs/>
          <w:sz w:val="22"/>
          <w:szCs w:val="22"/>
        </w:rPr>
        <w:t>No. 2318 “CIUDAD BOLÍVAR CAMINA SEGURA – INICIATIVAS CONCERTADAS CON LAS COMUNIDAD</w:t>
      </w:r>
      <w:r w:rsidR="00181D17" w:rsidRPr="00FD7602">
        <w:rPr>
          <w:rFonts w:ascii="Garamond" w:eastAsia="Arial" w:hAnsi="Garamond"/>
          <w:b/>
          <w:bCs/>
          <w:sz w:val="22"/>
          <w:szCs w:val="22"/>
        </w:rPr>
        <w:t>ES ÉTNICAS</w:t>
      </w:r>
      <w:r w:rsidRPr="00FD7602">
        <w:rPr>
          <w:rFonts w:ascii="Garamond" w:eastAsia="Arial" w:hAnsi="Garamond"/>
          <w:b/>
          <w:bCs/>
          <w:sz w:val="22"/>
          <w:szCs w:val="22"/>
        </w:rPr>
        <w:t>”.</w:t>
      </w:r>
    </w:p>
    <w:p w14:paraId="36DAD52D" w14:textId="77777777" w:rsidR="00FE6636" w:rsidRPr="00FD7602" w:rsidRDefault="00FE6636" w:rsidP="00AE7FD8">
      <w:pPr>
        <w:spacing w:before="240"/>
        <w:jc w:val="center"/>
        <w:rPr>
          <w:rFonts w:ascii="Garamond" w:eastAsia="Arial Nova" w:hAnsi="Garamond"/>
          <w:b/>
          <w:bCs/>
          <w:noProof/>
          <w:sz w:val="22"/>
          <w:szCs w:val="22"/>
        </w:rPr>
      </w:pPr>
    </w:p>
    <w:p w14:paraId="0430F8F7" w14:textId="77777777" w:rsidR="0094395E" w:rsidRPr="00FD7602" w:rsidRDefault="0094395E" w:rsidP="00AE7FD8">
      <w:pPr>
        <w:spacing w:before="240"/>
        <w:jc w:val="center"/>
        <w:rPr>
          <w:rFonts w:ascii="Garamond" w:eastAsia="Arial Nova" w:hAnsi="Garamond"/>
          <w:b/>
          <w:bCs/>
          <w:noProof/>
          <w:sz w:val="22"/>
          <w:szCs w:val="22"/>
        </w:rPr>
      </w:pPr>
    </w:p>
    <w:p w14:paraId="65CBD87F" w14:textId="77777777" w:rsidR="00FE6636" w:rsidRPr="00FD7602" w:rsidRDefault="00FE6636" w:rsidP="00AE7FD8">
      <w:pPr>
        <w:spacing w:before="240"/>
        <w:jc w:val="center"/>
        <w:rPr>
          <w:rFonts w:ascii="Garamond" w:eastAsia="Arial Nova" w:hAnsi="Garamond"/>
          <w:b/>
          <w:bCs/>
          <w:noProof/>
          <w:sz w:val="22"/>
          <w:szCs w:val="22"/>
        </w:rPr>
      </w:pPr>
    </w:p>
    <w:p w14:paraId="583D65E3" w14:textId="77777777" w:rsidR="00D1794A" w:rsidRPr="00FD7602" w:rsidRDefault="00D1794A" w:rsidP="005F12F6">
      <w:pPr>
        <w:spacing w:before="240"/>
        <w:rPr>
          <w:rFonts w:ascii="Garamond" w:eastAsia="Arial Nova" w:hAnsi="Garamond"/>
          <w:b/>
          <w:bCs/>
          <w:noProof/>
          <w:sz w:val="22"/>
          <w:szCs w:val="22"/>
        </w:rPr>
      </w:pPr>
    </w:p>
    <w:p w14:paraId="467AA8EE" w14:textId="77777777" w:rsidR="00B36B89" w:rsidRPr="00FD7602" w:rsidRDefault="00B36B89" w:rsidP="00AE7FD8">
      <w:pPr>
        <w:spacing w:before="240"/>
        <w:jc w:val="center"/>
        <w:rPr>
          <w:rFonts w:ascii="Garamond" w:eastAsia="Arial Nova" w:hAnsi="Garamond"/>
          <w:b/>
          <w:bCs/>
          <w:noProof/>
          <w:sz w:val="22"/>
          <w:szCs w:val="22"/>
        </w:rPr>
      </w:pPr>
      <w:r w:rsidRPr="00FD7602">
        <w:rPr>
          <w:rFonts w:ascii="Garamond" w:hAnsi="Garamond"/>
          <w:sz w:val="22"/>
          <w:szCs w:val="22"/>
        </w:rPr>
        <w:t>VIGENCIA 2026</w:t>
      </w:r>
    </w:p>
    <w:p w14:paraId="6AAF88C7" w14:textId="77777777" w:rsidR="00FE6636" w:rsidRPr="00FD7602" w:rsidRDefault="00FE6636" w:rsidP="00AE7FD8">
      <w:pPr>
        <w:spacing w:before="240"/>
        <w:jc w:val="center"/>
        <w:rPr>
          <w:rFonts w:ascii="Garamond" w:eastAsia="Arial Nova" w:hAnsi="Garamond"/>
          <w:b/>
          <w:bCs/>
          <w:noProof/>
          <w:sz w:val="22"/>
          <w:szCs w:val="22"/>
        </w:rPr>
      </w:pPr>
    </w:p>
    <w:p w14:paraId="6B1F1DB8" w14:textId="77777777" w:rsidR="00A4478E" w:rsidRPr="00FD7602" w:rsidRDefault="00A4478E" w:rsidP="00AE7FD8">
      <w:pPr>
        <w:spacing w:before="240"/>
        <w:jc w:val="center"/>
        <w:rPr>
          <w:rFonts w:ascii="Garamond" w:eastAsia="Arial Nova" w:hAnsi="Garamond"/>
          <w:b/>
          <w:bCs/>
          <w:noProof/>
          <w:sz w:val="22"/>
          <w:szCs w:val="22"/>
        </w:rPr>
      </w:pPr>
    </w:p>
    <w:p w14:paraId="23C41D79" w14:textId="77777777" w:rsidR="005F12F6" w:rsidRPr="00FD7602" w:rsidRDefault="005F12F6" w:rsidP="00AE7FD8">
      <w:pPr>
        <w:spacing w:before="240"/>
        <w:jc w:val="center"/>
        <w:rPr>
          <w:rFonts w:ascii="Garamond" w:eastAsia="Arial Nova" w:hAnsi="Garamond"/>
          <w:b/>
          <w:bCs/>
          <w:noProof/>
          <w:sz w:val="22"/>
          <w:szCs w:val="22"/>
        </w:rPr>
      </w:pPr>
    </w:p>
    <w:p w14:paraId="35AB67BA" w14:textId="77777777" w:rsidR="005F12F6" w:rsidRPr="00FD7602" w:rsidRDefault="005F12F6" w:rsidP="00AE7FD8">
      <w:pPr>
        <w:spacing w:before="240"/>
        <w:jc w:val="center"/>
        <w:rPr>
          <w:rFonts w:ascii="Garamond" w:eastAsia="Arial Nova" w:hAnsi="Garamond"/>
          <w:b/>
          <w:bCs/>
          <w:noProof/>
          <w:sz w:val="22"/>
          <w:szCs w:val="22"/>
        </w:rPr>
      </w:pPr>
    </w:p>
    <w:p w14:paraId="0BB709F7" w14:textId="77777777" w:rsidR="005F12F6" w:rsidRPr="00FD7602" w:rsidRDefault="005F12F6" w:rsidP="00AE7FD8">
      <w:pPr>
        <w:spacing w:before="240"/>
        <w:jc w:val="center"/>
        <w:rPr>
          <w:rFonts w:ascii="Garamond" w:eastAsia="Arial Nova" w:hAnsi="Garamond"/>
          <w:b/>
          <w:bCs/>
          <w:noProof/>
          <w:sz w:val="22"/>
          <w:szCs w:val="22"/>
        </w:rPr>
      </w:pPr>
    </w:p>
    <w:p w14:paraId="0805EF79" w14:textId="77777777" w:rsidR="00B36B89" w:rsidRPr="00FD7602" w:rsidRDefault="00B36B89" w:rsidP="00AE7FD8">
      <w:pPr>
        <w:jc w:val="center"/>
        <w:rPr>
          <w:rFonts w:ascii="Garamond" w:hAnsi="Garamond"/>
          <w:b/>
          <w:sz w:val="22"/>
          <w:szCs w:val="22"/>
        </w:rPr>
      </w:pPr>
      <w:r w:rsidRPr="00FD7602">
        <w:rPr>
          <w:rFonts w:ascii="Garamond" w:hAnsi="Garamond"/>
          <w:b/>
          <w:sz w:val="22"/>
          <w:szCs w:val="22"/>
        </w:rPr>
        <w:t>INTRODUCCIÓN</w:t>
      </w:r>
    </w:p>
    <w:p w14:paraId="66C0A4E9" w14:textId="77777777" w:rsidR="00B36B89" w:rsidRPr="00FD7602" w:rsidRDefault="00B36B89" w:rsidP="00AE7FD8">
      <w:pPr>
        <w:spacing w:line="290" w:lineRule="auto"/>
        <w:ind w:right="145"/>
        <w:jc w:val="both"/>
        <w:rPr>
          <w:rFonts w:ascii="Garamond" w:hAnsi="Garamond"/>
          <w:b/>
          <w:sz w:val="22"/>
          <w:szCs w:val="22"/>
        </w:rPr>
      </w:pPr>
    </w:p>
    <w:p w14:paraId="07836214" w14:textId="77777777" w:rsidR="00B36B89" w:rsidRPr="00FD7602" w:rsidRDefault="00B36B89" w:rsidP="00C46EDC">
      <w:pPr>
        <w:ind w:right="49"/>
        <w:jc w:val="both"/>
        <w:rPr>
          <w:rFonts w:ascii="Garamond" w:eastAsia="Arial" w:hAnsi="Garamond"/>
          <w:sz w:val="22"/>
          <w:szCs w:val="22"/>
        </w:rPr>
      </w:pPr>
      <w:r w:rsidRPr="00FD7602">
        <w:rPr>
          <w:rFonts w:ascii="Garamond" w:hAnsi="Garamond"/>
          <w:sz w:val="22"/>
          <w:szCs w:val="22"/>
        </w:rPr>
        <w:t>El presente documento contiene el análisis del sector asociado al proceso de contratación que adelanta el Fondo de Desarrollo Local de Ciudad Bolívar, con el fin de identificar las condiciones legales, económicas, comerciales, técnicas y organizacionales del mercado relacionado con la implementación de iniciativas concertadas con comunidades indígenas para la vigencia 2026.</w:t>
      </w:r>
    </w:p>
    <w:p w14:paraId="56564E2A" w14:textId="77777777" w:rsidR="00B36B89" w:rsidRPr="00FD7602" w:rsidRDefault="00B36B89" w:rsidP="00C46EDC">
      <w:pPr>
        <w:ind w:right="49"/>
        <w:jc w:val="both"/>
        <w:rPr>
          <w:rFonts w:ascii="Garamond" w:hAnsi="Garamond"/>
          <w:sz w:val="22"/>
          <w:szCs w:val="22"/>
        </w:rPr>
      </w:pPr>
    </w:p>
    <w:p w14:paraId="4801843D" w14:textId="3447A7FB" w:rsidR="00B36B89" w:rsidRPr="000A1248" w:rsidRDefault="00B36B89" w:rsidP="00C46EDC">
      <w:pPr>
        <w:ind w:right="49"/>
        <w:jc w:val="both"/>
        <w:rPr>
          <w:rFonts w:ascii="Garamond" w:hAnsi="Garamond"/>
          <w:b/>
          <w:bCs/>
          <w:i/>
          <w:sz w:val="22"/>
          <w:szCs w:val="22"/>
        </w:rPr>
      </w:pPr>
      <w:r w:rsidRPr="00FD7602">
        <w:rPr>
          <w:rFonts w:ascii="Garamond" w:hAnsi="Garamond"/>
          <w:sz w:val="22"/>
          <w:szCs w:val="22"/>
        </w:rPr>
        <w:t xml:space="preserve">Durante la etapa de planeación se realizó la revisión del mercado y del sector desde las perspectivas legal, comercial, financiera, económica, organizacional y técnica, para la contratación cuyo objeto es: </w:t>
      </w:r>
      <w:r w:rsidR="000A1248" w:rsidRPr="000A1248">
        <w:rPr>
          <w:rFonts w:ascii="Garamond" w:hAnsi="Garamond"/>
          <w:b/>
          <w:bCs/>
          <w:sz w:val="22"/>
          <w:szCs w:val="22"/>
        </w:rPr>
        <w:t>“EJECUTAR, IMPLEMENTAR Y FORTALECER LAS INICIATIVAS DE MEDICINA ANCESTRAL, PRACTICAS CULTURALES Y CONMEMORACIONES CULTURALES CONCERTADAS CON LOS PUEBLOS INDÍGENAS DE CIUDAD BOLÍVAR EN EL MARCO DEL PROYECTO DE INVERSIÓN 2318 Y EL PLAN DE DESARROLLO LOCAL 2025-2028 “CIUDAD BOLÍVAR CAMINA SEGURA”.</w:t>
      </w:r>
    </w:p>
    <w:p w14:paraId="7D3AEFF9" w14:textId="77777777" w:rsidR="006D2F5D" w:rsidRPr="00FD7602" w:rsidRDefault="00CF15F3" w:rsidP="00CF15F3">
      <w:pPr>
        <w:tabs>
          <w:tab w:val="left" w:pos="6885"/>
        </w:tabs>
        <w:ind w:right="49"/>
        <w:jc w:val="both"/>
        <w:rPr>
          <w:rFonts w:ascii="Garamond" w:eastAsia="Arial" w:hAnsi="Garamond"/>
          <w:sz w:val="22"/>
          <w:szCs w:val="22"/>
        </w:rPr>
      </w:pPr>
      <w:r w:rsidRPr="00FD7602">
        <w:rPr>
          <w:rFonts w:ascii="Garamond" w:eastAsia="Arial" w:hAnsi="Garamond"/>
          <w:sz w:val="22"/>
          <w:szCs w:val="22"/>
        </w:rPr>
        <w:tab/>
      </w:r>
    </w:p>
    <w:p w14:paraId="59151F2A" w14:textId="77777777" w:rsidR="00B36B89" w:rsidRPr="00FD7602" w:rsidRDefault="00B36B89" w:rsidP="00C46EDC">
      <w:pPr>
        <w:ind w:right="49"/>
        <w:jc w:val="both"/>
        <w:rPr>
          <w:rFonts w:ascii="Garamond" w:eastAsia="Arial" w:hAnsi="Garamond"/>
          <w:sz w:val="22"/>
          <w:szCs w:val="22"/>
        </w:rPr>
      </w:pPr>
      <w:r w:rsidRPr="00FD7602">
        <w:rPr>
          <w:rFonts w:ascii="Garamond" w:hAnsi="Garamond"/>
          <w:sz w:val="22"/>
          <w:szCs w:val="22"/>
        </w:rPr>
        <w:t>El análisis se desarrolla de conformidad con el artículo 2.2.1.1.1.6.1 del Decreto 1082 de 2015, que exige a las entidades estatales conocer el sector relativo al objeto del proceso de contratación desde la perspectiva legal, comercial, financiera, organizacional, técnica y de riesgos, dejando constancia de dicho análisis en los documentos del proceso. Adicionalmente, se atienden los lineamientos de Colombia Compra Eficiente contenidos en la Guía para la Elaboración de Estudios del Sector, actualizada como instrumento orientador para fortalecer la planeación contractual.</w:t>
      </w:r>
    </w:p>
    <w:p w14:paraId="1A5963E7" w14:textId="77777777" w:rsidR="00CE063D" w:rsidRPr="00FD7602" w:rsidRDefault="00CE063D" w:rsidP="00AE7FD8">
      <w:pPr>
        <w:jc w:val="both"/>
        <w:rPr>
          <w:rFonts w:ascii="Garamond" w:eastAsia="Arial" w:hAnsi="Garamond"/>
          <w:sz w:val="22"/>
          <w:szCs w:val="22"/>
        </w:rPr>
      </w:pPr>
    </w:p>
    <w:p w14:paraId="725A5FFE" w14:textId="77777777" w:rsidR="00B36B89" w:rsidRPr="00FD7602" w:rsidRDefault="00B36B89" w:rsidP="00C46EDC">
      <w:pPr>
        <w:numPr>
          <w:ilvl w:val="0"/>
          <w:numId w:val="1"/>
        </w:numPr>
        <w:ind w:right="49"/>
        <w:contextualSpacing/>
        <w:jc w:val="both"/>
        <w:rPr>
          <w:rFonts w:ascii="Garamond" w:eastAsia="Arial" w:hAnsi="Garamond"/>
          <w:sz w:val="22"/>
          <w:szCs w:val="22"/>
        </w:rPr>
      </w:pPr>
      <w:r w:rsidRPr="00FD7602">
        <w:rPr>
          <w:rFonts w:ascii="Garamond" w:eastAsia="Arial" w:hAnsi="Garamond"/>
          <w:sz w:val="22"/>
          <w:szCs w:val="22"/>
        </w:rPr>
        <w:t>OBJETIVO DEL ESTUDIO DEL SECTOR. Identificar y analizar proveedores, productos y precios requeridos para establecer comparación y asignación de valores a bienes y/o servicios relativos al objeto del proceso de contratación desde la perspectiva legal, comercial, financiera, organizacional, técnica y de análisis de riesgo.</w:t>
      </w:r>
    </w:p>
    <w:p w14:paraId="102193A1" w14:textId="77777777" w:rsidR="00B36B89" w:rsidRPr="00FD7602" w:rsidRDefault="00B36B89" w:rsidP="00C46EDC">
      <w:pPr>
        <w:numPr>
          <w:ilvl w:val="0"/>
          <w:numId w:val="1"/>
        </w:numPr>
        <w:ind w:right="49"/>
        <w:contextualSpacing/>
        <w:jc w:val="both"/>
        <w:rPr>
          <w:rFonts w:ascii="Garamond" w:eastAsia="Arial" w:hAnsi="Garamond"/>
          <w:sz w:val="22"/>
          <w:szCs w:val="22"/>
        </w:rPr>
      </w:pPr>
      <w:r w:rsidRPr="00FD7602">
        <w:rPr>
          <w:rFonts w:ascii="Garamond" w:eastAsia="Arial" w:hAnsi="Garamond"/>
          <w:sz w:val="22"/>
          <w:szCs w:val="22"/>
        </w:rPr>
        <w:t>ALCANCE. Seleccionar y comparar económicamente bienes y servicios que satisfagan las necesidades objeto de contratación, y permitir establecer el contexto financiero, económico y competitivo dentro de los procesos contractuales.</w:t>
      </w:r>
    </w:p>
    <w:p w14:paraId="732940CE" w14:textId="77777777" w:rsidR="004F3E83" w:rsidRPr="00FD7602" w:rsidRDefault="00B36B89" w:rsidP="004F3E83">
      <w:pPr>
        <w:numPr>
          <w:ilvl w:val="0"/>
          <w:numId w:val="1"/>
        </w:numPr>
        <w:ind w:right="49"/>
        <w:contextualSpacing/>
        <w:jc w:val="both"/>
        <w:rPr>
          <w:rFonts w:ascii="Garamond" w:eastAsia="Arial" w:hAnsi="Garamond"/>
          <w:sz w:val="22"/>
          <w:szCs w:val="22"/>
        </w:rPr>
      </w:pPr>
      <w:r w:rsidRPr="00FD7602">
        <w:rPr>
          <w:rFonts w:ascii="Garamond" w:eastAsia="Arial" w:hAnsi="Garamond"/>
          <w:sz w:val="22"/>
          <w:szCs w:val="22"/>
        </w:rPr>
        <w:t>ESTRUCTURA DEL ANÁLISIS DEL SECTOR. El presente análisis contiene frente al sector objeto de contratación.</w:t>
      </w:r>
    </w:p>
    <w:p w14:paraId="10A81D51" w14:textId="77777777" w:rsidR="004F3E83" w:rsidRPr="00FD7602" w:rsidRDefault="004F3E83" w:rsidP="004F3E83">
      <w:pPr>
        <w:ind w:right="49"/>
        <w:contextualSpacing/>
        <w:jc w:val="both"/>
        <w:rPr>
          <w:rFonts w:ascii="Garamond" w:eastAsia="Arial" w:hAnsi="Garamond"/>
          <w:sz w:val="22"/>
          <w:szCs w:val="22"/>
        </w:rPr>
      </w:pPr>
    </w:p>
    <w:p w14:paraId="1C797748" w14:textId="77777777" w:rsidR="00B36B89" w:rsidRPr="00FD7602" w:rsidRDefault="004F3E83" w:rsidP="004F3E83">
      <w:pPr>
        <w:ind w:right="49"/>
        <w:contextualSpacing/>
        <w:jc w:val="both"/>
        <w:rPr>
          <w:rFonts w:ascii="Garamond" w:eastAsia="Arial" w:hAnsi="Garamond"/>
          <w:sz w:val="22"/>
          <w:szCs w:val="22"/>
        </w:rPr>
      </w:pPr>
      <w:r w:rsidRPr="00FD7602">
        <w:rPr>
          <w:rFonts w:ascii="Garamond" w:eastAsia="Arial" w:hAnsi="Garamond"/>
          <w:sz w:val="22"/>
          <w:szCs w:val="22"/>
        </w:rPr>
        <w:t>Aspecto para tener en cuenta en el presente estudio.</w:t>
      </w:r>
    </w:p>
    <w:p w14:paraId="7AE1CA3D" w14:textId="77777777" w:rsidR="004F3E83" w:rsidRPr="00FD7602" w:rsidRDefault="004F3E83" w:rsidP="004F3E83">
      <w:pPr>
        <w:ind w:right="49"/>
        <w:contextualSpacing/>
        <w:jc w:val="both"/>
        <w:rPr>
          <w:rFonts w:ascii="Garamond" w:eastAsia="Arial" w:hAnsi="Garamond"/>
          <w:sz w:val="22"/>
          <w:szCs w:val="22"/>
        </w:rPr>
      </w:pPr>
    </w:p>
    <w:p w14:paraId="43187222" w14:textId="77777777" w:rsidR="00195ADD" w:rsidRPr="00FD7602" w:rsidRDefault="00195ADD" w:rsidP="00FC27F9">
      <w:pPr>
        <w:numPr>
          <w:ilvl w:val="0"/>
          <w:numId w:val="43"/>
        </w:numPr>
        <w:tabs>
          <w:tab w:val="clear" w:pos="720"/>
        </w:tabs>
        <w:ind w:left="284" w:right="49" w:hanging="284"/>
        <w:contextualSpacing/>
        <w:jc w:val="both"/>
        <w:rPr>
          <w:rFonts w:ascii="Garamond" w:eastAsia="Arial" w:hAnsi="Garamond"/>
          <w:sz w:val="22"/>
          <w:szCs w:val="22"/>
        </w:rPr>
      </w:pPr>
      <w:r w:rsidRPr="00FD7602">
        <w:rPr>
          <w:rFonts w:ascii="Garamond" w:eastAsia="Arial" w:hAnsi="Garamond"/>
          <w:sz w:val="22"/>
          <w:szCs w:val="22"/>
        </w:rPr>
        <w:t>Aspectos Generales</w:t>
      </w:r>
      <w:r w:rsidR="00607202" w:rsidRPr="00FD7602">
        <w:rPr>
          <w:rFonts w:ascii="Garamond" w:eastAsia="Arial" w:hAnsi="Garamond"/>
          <w:sz w:val="22"/>
          <w:szCs w:val="22"/>
        </w:rPr>
        <w:t xml:space="preserve"> del Mercado</w:t>
      </w:r>
    </w:p>
    <w:p w14:paraId="1BDF5274" w14:textId="77777777" w:rsidR="00195ADD" w:rsidRPr="00FD7602" w:rsidRDefault="00896567" w:rsidP="00FC27F9">
      <w:pPr>
        <w:numPr>
          <w:ilvl w:val="0"/>
          <w:numId w:val="43"/>
        </w:numPr>
        <w:tabs>
          <w:tab w:val="clear" w:pos="720"/>
        </w:tabs>
        <w:ind w:left="284" w:right="49" w:hanging="284"/>
        <w:contextualSpacing/>
        <w:jc w:val="both"/>
        <w:rPr>
          <w:rFonts w:ascii="Garamond" w:eastAsia="Arial" w:hAnsi="Garamond"/>
          <w:sz w:val="22"/>
          <w:szCs w:val="22"/>
        </w:rPr>
      </w:pPr>
      <w:r w:rsidRPr="00FD7602">
        <w:rPr>
          <w:rFonts w:ascii="Garamond" w:eastAsia="Arial" w:hAnsi="Garamond"/>
          <w:sz w:val="22"/>
          <w:szCs w:val="22"/>
        </w:rPr>
        <w:t>Comportamiento del Gasto Histórico</w:t>
      </w:r>
    </w:p>
    <w:p w14:paraId="616AE649" w14:textId="77777777" w:rsidR="00A7323E" w:rsidRPr="00FD7602" w:rsidRDefault="008D7F4E" w:rsidP="00FC27F9">
      <w:pPr>
        <w:numPr>
          <w:ilvl w:val="0"/>
          <w:numId w:val="43"/>
        </w:numPr>
        <w:tabs>
          <w:tab w:val="clear" w:pos="720"/>
        </w:tabs>
        <w:ind w:left="284" w:right="49" w:hanging="284"/>
        <w:contextualSpacing/>
        <w:jc w:val="both"/>
        <w:rPr>
          <w:rFonts w:ascii="Garamond" w:eastAsia="Arial" w:hAnsi="Garamond"/>
          <w:sz w:val="22"/>
          <w:szCs w:val="22"/>
        </w:rPr>
      </w:pPr>
      <w:r w:rsidRPr="00FD7602">
        <w:rPr>
          <w:rFonts w:ascii="Garamond" w:eastAsia="Arial" w:hAnsi="Garamond"/>
          <w:sz w:val="22"/>
          <w:szCs w:val="22"/>
        </w:rPr>
        <w:t>Estudio de la Oferta</w:t>
      </w:r>
    </w:p>
    <w:p w14:paraId="5D11568F" w14:textId="77777777" w:rsidR="00A7323E" w:rsidRPr="00FD7602" w:rsidRDefault="00A7323E" w:rsidP="00FC27F9">
      <w:pPr>
        <w:numPr>
          <w:ilvl w:val="0"/>
          <w:numId w:val="43"/>
        </w:numPr>
        <w:tabs>
          <w:tab w:val="clear" w:pos="720"/>
        </w:tabs>
        <w:ind w:left="284" w:right="49" w:hanging="284"/>
        <w:contextualSpacing/>
        <w:jc w:val="both"/>
        <w:rPr>
          <w:rFonts w:ascii="Garamond" w:eastAsia="Arial" w:hAnsi="Garamond"/>
          <w:sz w:val="22"/>
          <w:szCs w:val="22"/>
        </w:rPr>
      </w:pPr>
      <w:r w:rsidRPr="00FD7602">
        <w:rPr>
          <w:rFonts w:ascii="Garamond" w:eastAsia="Arial" w:hAnsi="Garamond"/>
          <w:sz w:val="22"/>
          <w:szCs w:val="22"/>
        </w:rPr>
        <w:t>Estudio de</w:t>
      </w:r>
      <w:r w:rsidR="008D7F4E" w:rsidRPr="00FD7602">
        <w:rPr>
          <w:rFonts w:ascii="Garamond" w:eastAsia="Arial" w:hAnsi="Garamond"/>
          <w:sz w:val="22"/>
          <w:szCs w:val="22"/>
        </w:rPr>
        <w:t>l Mercado</w:t>
      </w:r>
    </w:p>
    <w:p w14:paraId="7D329632" w14:textId="77777777" w:rsidR="00B36B89" w:rsidRPr="00FD7602" w:rsidRDefault="00A7323E" w:rsidP="00FC27F9">
      <w:pPr>
        <w:numPr>
          <w:ilvl w:val="0"/>
          <w:numId w:val="43"/>
        </w:numPr>
        <w:tabs>
          <w:tab w:val="clear" w:pos="720"/>
        </w:tabs>
        <w:ind w:left="284" w:hanging="284"/>
        <w:contextualSpacing/>
        <w:jc w:val="both"/>
        <w:rPr>
          <w:rFonts w:ascii="Garamond" w:eastAsia="Arial" w:hAnsi="Garamond"/>
          <w:sz w:val="22"/>
          <w:szCs w:val="22"/>
        </w:rPr>
      </w:pPr>
      <w:r w:rsidRPr="00FD7602">
        <w:rPr>
          <w:rFonts w:ascii="Garamond" w:eastAsia="Arial" w:hAnsi="Garamond"/>
          <w:sz w:val="22"/>
          <w:szCs w:val="22"/>
        </w:rPr>
        <w:t xml:space="preserve">Conclusión </w:t>
      </w:r>
    </w:p>
    <w:p w14:paraId="18B8EBBC" w14:textId="77777777" w:rsidR="00B36B89" w:rsidRPr="00FD7602" w:rsidRDefault="00B36B89" w:rsidP="00AE7FD8">
      <w:pPr>
        <w:shd w:val="clear" w:color="auto" w:fill="FFFFFF"/>
        <w:ind w:left="720"/>
        <w:jc w:val="both"/>
        <w:rPr>
          <w:rFonts w:ascii="Garamond" w:hAnsi="Garamond"/>
          <w:sz w:val="22"/>
          <w:szCs w:val="22"/>
        </w:rPr>
      </w:pPr>
    </w:p>
    <w:p w14:paraId="0938509C" w14:textId="77777777" w:rsidR="00B36B89" w:rsidRPr="00FD7602" w:rsidRDefault="00771D02" w:rsidP="000645D9">
      <w:pPr>
        <w:pStyle w:val="Estilo1TituloEstudiodelsector"/>
        <w:numPr>
          <w:ilvl w:val="0"/>
          <w:numId w:val="6"/>
        </w:numPr>
        <w:rPr>
          <w:rFonts w:cs="Times New Roman"/>
          <w:sz w:val="22"/>
          <w:szCs w:val="22"/>
        </w:rPr>
      </w:pPr>
      <w:r w:rsidRPr="00FD7602">
        <w:rPr>
          <w:rFonts w:cs="Times New Roman"/>
          <w:sz w:val="22"/>
          <w:szCs w:val="22"/>
        </w:rPr>
        <w:t>ASPECTOS GENERALES</w:t>
      </w:r>
      <w:r w:rsidR="002534E4" w:rsidRPr="00FD7602">
        <w:rPr>
          <w:rFonts w:cs="Times New Roman"/>
          <w:sz w:val="22"/>
          <w:szCs w:val="22"/>
        </w:rPr>
        <w:t xml:space="preserve"> DEL MERCADO</w:t>
      </w:r>
    </w:p>
    <w:p w14:paraId="507924D2" w14:textId="77777777" w:rsidR="00A7323E" w:rsidRPr="00FD7602" w:rsidRDefault="00A7323E" w:rsidP="00A7323E">
      <w:pPr>
        <w:pStyle w:val="Estilo1TituloEstudiodelsector"/>
        <w:numPr>
          <w:ilvl w:val="0"/>
          <w:numId w:val="0"/>
        </w:numPr>
        <w:ind w:left="720"/>
        <w:rPr>
          <w:rFonts w:cs="Times New Roman"/>
          <w:sz w:val="22"/>
          <w:szCs w:val="22"/>
        </w:rPr>
      </w:pPr>
    </w:p>
    <w:p w14:paraId="52867650" w14:textId="77777777" w:rsidR="00A7323E" w:rsidRPr="00FD7602" w:rsidRDefault="00771D02" w:rsidP="000645D9">
      <w:pPr>
        <w:pStyle w:val="Prrafodelista"/>
        <w:numPr>
          <w:ilvl w:val="1"/>
          <w:numId w:val="12"/>
        </w:numPr>
        <w:rPr>
          <w:rFonts w:ascii="Garamond" w:hAnsi="Garamond"/>
          <w:b/>
          <w:bCs/>
          <w:sz w:val="22"/>
          <w:szCs w:val="22"/>
        </w:rPr>
      </w:pPr>
      <w:r w:rsidRPr="00FD7602">
        <w:rPr>
          <w:rFonts w:ascii="Garamond" w:hAnsi="Garamond"/>
          <w:b/>
          <w:bCs/>
          <w:sz w:val="22"/>
          <w:szCs w:val="22"/>
        </w:rPr>
        <w:t>IDENTIFICACIÓN DEL SECTOR</w:t>
      </w:r>
    </w:p>
    <w:p w14:paraId="0B75B5BB" w14:textId="77777777" w:rsidR="00B36B89" w:rsidRPr="00FD7602" w:rsidRDefault="00B36B89" w:rsidP="00A7323E">
      <w:pPr>
        <w:pStyle w:val="Prrafodelista"/>
        <w:rPr>
          <w:rFonts w:ascii="Garamond" w:hAnsi="Garamond"/>
          <w:b/>
          <w:bCs/>
          <w:sz w:val="22"/>
          <w:szCs w:val="22"/>
        </w:rPr>
      </w:pPr>
      <w:r w:rsidRPr="00FD7602">
        <w:rPr>
          <w:rFonts w:ascii="Garamond" w:hAnsi="Garamond"/>
          <w:b/>
          <w:bCs/>
          <w:sz w:val="22"/>
          <w:szCs w:val="22"/>
        </w:rPr>
        <w:tab/>
      </w:r>
    </w:p>
    <w:p w14:paraId="3DC9722B" w14:textId="77777777" w:rsidR="00B36B89" w:rsidRPr="00FD7602" w:rsidRDefault="00B36B8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sz w:val="22"/>
          <w:szCs w:val="22"/>
        </w:rPr>
        <w:t>El objeto de la contratación a adelantar se encuentra en el sector tercia</w:t>
      </w:r>
      <w:r w:rsidR="00276FF5" w:rsidRPr="00FD7602">
        <w:rPr>
          <w:rFonts w:ascii="Garamond" w:eastAsia="Verdana" w:hAnsi="Garamond"/>
          <w:sz w:val="22"/>
          <w:szCs w:val="22"/>
        </w:rPr>
        <w:t>rio</w:t>
      </w:r>
      <w:r w:rsidRPr="00FD7602">
        <w:rPr>
          <w:rFonts w:ascii="Garamond" w:eastAsia="Verdana" w:hAnsi="Garamond"/>
          <w:sz w:val="22"/>
          <w:szCs w:val="22"/>
        </w:rPr>
        <w:t>. A continuación, se describen los sectores</w:t>
      </w:r>
    </w:p>
    <w:p w14:paraId="742DAE0A" w14:textId="77777777" w:rsidR="00EC0909" w:rsidRPr="00FD7602" w:rsidRDefault="00EC090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p>
    <w:p w14:paraId="177AAE58" w14:textId="77777777" w:rsidR="0072119C" w:rsidRPr="00FD7602" w:rsidRDefault="00103F98" w:rsidP="00C46EDC">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b/>
          <w:bCs/>
          <w:sz w:val="22"/>
          <w:szCs w:val="22"/>
        </w:rPr>
        <w:t>Sector Primario</w:t>
      </w:r>
      <w:r w:rsidRPr="00FD7602">
        <w:rPr>
          <w:rFonts w:ascii="Garamond" w:eastAsia="Verdana" w:hAnsi="Garamond"/>
          <w:sz w:val="22"/>
          <w:szCs w:val="22"/>
        </w:rPr>
        <w:t xml:space="preserve">: Abarca las actividades que se dedican a la extracción y obtención de recursos naturales. Entre las actividades desarrolladas por el sector se encuentran </w:t>
      </w:r>
      <w:r w:rsidR="00DE7B5D" w:rsidRPr="00FD7602">
        <w:rPr>
          <w:rFonts w:ascii="Garamond" w:eastAsia="Verdana" w:hAnsi="Garamond"/>
          <w:sz w:val="22"/>
          <w:szCs w:val="22"/>
        </w:rPr>
        <w:t>la agricultura</w:t>
      </w:r>
      <w:r w:rsidRPr="00FD7602">
        <w:rPr>
          <w:rFonts w:ascii="Garamond" w:eastAsia="Verdana" w:hAnsi="Garamond"/>
          <w:sz w:val="22"/>
          <w:szCs w:val="22"/>
        </w:rPr>
        <w:t xml:space="preserve">, ganadería, pesca, minería y silvicultura. </w:t>
      </w:r>
      <w:r w:rsidR="0072119C" w:rsidRPr="00FD7602">
        <w:rPr>
          <w:rFonts w:ascii="Garamond" w:eastAsia="Verdana" w:hAnsi="Garamond"/>
          <w:sz w:val="22"/>
          <w:szCs w:val="22"/>
        </w:rPr>
        <w:t xml:space="preserve"> </w:t>
      </w:r>
    </w:p>
    <w:p w14:paraId="587F316C" w14:textId="77777777" w:rsidR="0072119C" w:rsidRPr="00FD7602" w:rsidRDefault="00103F98" w:rsidP="00C46EDC">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b/>
          <w:bCs/>
          <w:sz w:val="22"/>
          <w:szCs w:val="22"/>
        </w:rPr>
        <w:t>Sector Secundario</w:t>
      </w:r>
      <w:r w:rsidRPr="00FD7602">
        <w:rPr>
          <w:rFonts w:ascii="Garamond" w:eastAsia="Verdana" w:hAnsi="Garamond"/>
          <w:sz w:val="22"/>
          <w:szCs w:val="22"/>
        </w:rPr>
        <w:t>: Comprende las actividades de transformación de materias primas en productos terminados o semielaborados.</w:t>
      </w:r>
      <w:r w:rsidR="00846C8E" w:rsidRPr="00FD7602">
        <w:rPr>
          <w:rFonts w:ascii="Garamond" w:eastAsia="Verdana" w:hAnsi="Garamond"/>
          <w:sz w:val="22"/>
          <w:szCs w:val="22"/>
        </w:rPr>
        <w:t xml:space="preserve"> Entre las actividades desarrolladas por el sector se encuentra la p</w:t>
      </w:r>
      <w:r w:rsidRPr="00FD7602">
        <w:rPr>
          <w:rFonts w:ascii="Garamond" w:eastAsia="Verdana" w:hAnsi="Garamond"/>
          <w:sz w:val="22"/>
          <w:szCs w:val="22"/>
        </w:rPr>
        <w:t>roducción de textiles, alimentos procesados, productos químicos, metalurgia, y maquinaria</w:t>
      </w:r>
      <w:r w:rsidR="00846C8E" w:rsidRPr="00FD7602">
        <w:rPr>
          <w:rFonts w:ascii="Garamond" w:eastAsia="Verdana" w:hAnsi="Garamond"/>
          <w:sz w:val="22"/>
          <w:szCs w:val="22"/>
        </w:rPr>
        <w:t>, la c</w:t>
      </w:r>
      <w:r w:rsidRPr="00FD7602">
        <w:rPr>
          <w:rFonts w:ascii="Garamond" w:eastAsia="Verdana" w:hAnsi="Garamond"/>
          <w:sz w:val="22"/>
          <w:szCs w:val="22"/>
        </w:rPr>
        <w:t xml:space="preserve">onstrucción </w:t>
      </w:r>
      <w:r w:rsidR="00846C8E" w:rsidRPr="00FD7602">
        <w:rPr>
          <w:rFonts w:ascii="Garamond" w:eastAsia="Verdana" w:hAnsi="Garamond"/>
          <w:sz w:val="22"/>
          <w:szCs w:val="22"/>
        </w:rPr>
        <w:t>y la g</w:t>
      </w:r>
      <w:r w:rsidRPr="00FD7602">
        <w:rPr>
          <w:rFonts w:ascii="Garamond" w:eastAsia="Verdana" w:hAnsi="Garamond"/>
          <w:sz w:val="22"/>
          <w:szCs w:val="22"/>
        </w:rPr>
        <w:t>eneración de electricidad, principalmente a través de hidroeléctricas y termoeléctricas.</w:t>
      </w:r>
    </w:p>
    <w:p w14:paraId="2297D2B4" w14:textId="77777777" w:rsidR="00103F98" w:rsidRPr="00FD7602" w:rsidRDefault="00103F98" w:rsidP="00C46EDC">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b/>
          <w:bCs/>
          <w:sz w:val="22"/>
          <w:szCs w:val="22"/>
        </w:rPr>
        <w:t>Sector Terciario</w:t>
      </w:r>
      <w:r w:rsidRPr="00FD7602">
        <w:rPr>
          <w:rFonts w:ascii="Garamond" w:eastAsia="Verdana" w:hAnsi="Garamond"/>
          <w:sz w:val="22"/>
          <w:szCs w:val="22"/>
        </w:rPr>
        <w:t>:</w:t>
      </w:r>
      <w:r w:rsidR="00846C8E" w:rsidRPr="00FD7602">
        <w:rPr>
          <w:rFonts w:ascii="Garamond" w:eastAsia="Verdana" w:hAnsi="Garamond"/>
          <w:sz w:val="22"/>
          <w:szCs w:val="22"/>
        </w:rPr>
        <w:t xml:space="preserve"> Involucra la prestación de servicios a la población y a otras empresas. Entre las actividades desarrolladas se encuentra el c</w:t>
      </w:r>
      <w:r w:rsidRPr="00FD7602">
        <w:rPr>
          <w:rFonts w:ascii="Garamond" w:eastAsia="Verdana" w:hAnsi="Garamond"/>
          <w:sz w:val="22"/>
          <w:szCs w:val="22"/>
        </w:rPr>
        <w:t>omercio</w:t>
      </w:r>
      <w:r w:rsidR="00846C8E" w:rsidRPr="00FD7602">
        <w:rPr>
          <w:rFonts w:ascii="Garamond" w:eastAsia="Verdana" w:hAnsi="Garamond"/>
          <w:sz w:val="22"/>
          <w:szCs w:val="22"/>
        </w:rPr>
        <w:t xml:space="preserve"> </w:t>
      </w:r>
      <w:r w:rsidRPr="00FD7602">
        <w:rPr>
          <w:rFonts w:ascii="Garamond" w:eastAsia="Verdana" w:hAnsi="Garamond"/>
          <w:sz w:val="22"/>
          <w:szCs w:val="22"/>
        </w:rPr>
        <w:t>al por mayor y menor de bienes y productos</w:t>
      </w:r>
      <w:r w:rsidR="00846C8E" w:rsidRPr="00FD7602">
        <w:rPr>
          <w:rFonts w:ascii="Garamond" w:eastAsia="Verdana" w:hAnsi="Garamond"/>
          <w:sz w:val="22"/>
          <w:szCs w:val="22"/>
        </w:rPr>
        <w:t>, el t</w:t>
      </w:r>
      <w:r w:rsidRPr="00FD7602">
        <w:rPr>
          <w:rFonts w:ascii="Garamond" w:eastAsia="Verdana" w:hAnsi="Garamond"/>
          <w:sz w:val="22"/>
          <w:szCs w:val="22"/>
        </w:rPr>
        <w:t>ransporte</w:t>
      </w:r>
      <w:r w:rsidR="00846C8E" w:rsidRPr="00FD7602">
        <w:rPr>
          <w:rFonts w:ascii="Garamond" w:eastAsia="Verdana" w:hAnsi="Garamond"/>
          <w:sz w:val="22"/>
          <w:szCs w:val="22"/>
        </w:rPr>
        <w:t>, la l</w:t>
      </w:r>
      <w:r w:rsidRPr="00FD7602">
        <w:rPr>
          <w:rFonts w:ascii="Garamond" w:eastAsia="Verdana" w:hAnsi="Garamond"/>
          <w:sz w:val="22"/>
          <w:szCs w:val="22"/>
        </w:rPr>
        <w:t>ogística</w:t>
      </w:r>
      <w:r w:rsidR="00846C8E" w:rsidRPr="00FD7602">
        <w:rPr>
          <w:rFonts w:ascii="Garamond" w:eastAsia="Verdana" w:hAnsi="Garamond"/>
          <w:sz w:val="22"/>
          <w:szCs w:val="22"/>
        </w:rPr>
        <w:t>, el t</w:t>
      </w:r>
      <w:r w:rsidRPr="00FD7602">
        <w:rPr>
          <w:rFonts w:ascii="Garamond" w:eastAsia="Verdana" w:hAnsi="Garamond"/>
          <w:sz w:val="22"/>
          <w:szCs w:val="22"/>
        </w:rPr>
        <w:t>urismo</w:t>
      </w:r>
      <w:r w:rsidR="00846C8E" w:rsidRPr="00FD7602">
        <w:rPr>
          <w:rFonts w:ascii="Garamond" w:eastAsia="Verdana" w:hAnsi="Garamond"/>
          <w:sz w:val="22"/>
          <w:szCs w:val="22"/>
        </w:rPr>
        <w:t>, los s</w:t>
      </w:r>
      <w:r w:rsidRPr="00FD7602">
        <w:rPr>
          <w:rFonts w:ascii="Garamond" w:eastAsia="Verdana" w:hAnsi="Garamond"/>
          <w:sz w:val="22"/>
          <w:szCs w:val="22"/>
        </w:rPr>
        <w:t xml:space="preserve">ervicios </w:t>
      </w:r>
      <w:r w:rsidR="00846C8E" w:rsidRPr="00FD7602">
        <w:rPr>
          <w:rFonts w:ascii="Garamond" w:eastAsia="Verdana" w:hAnsi="Garamond"/>
          <w:sz w:val="22"/>
          <w:szCs w:val="22"/>
        </w:rPr>
        <w:t>f</w:t>
      </w:r>
      <w:r w:rsidRPr="00FD7602">
        <w:rPr>
          <w:rFonts w:ascii="Garamond" w:eastAsia="Verdana" w:hAnsi="Garamond"/>
          <w:sz w:val="22"/>
          <w:szCs w:val="22"/>
        </w:rPr>
        <w:t>inancieros</w:t>
      </w:r>
      <w:r w:rsidR="00846C8E" w:rsidRPr="00FD7602">
        <w:rPr>
          <w:rFonts w:ascii="Garamond" w:eastAsia="Verdana" w:hAnsi="Garamond"/>
          <w:sz w:val="22"/>
          <w:szCs w:val="22"/>
        </w:rPr>
        <w:t>, e</w:t>
      </w:r>
      <w:r w:rsidRPr="00FD7602">
        <w:rPr>
          <w:rFonts w:ascii="Garamond" w:eastAsia="Verdana" w:hAnsi="Garamond"/>
          <w:sz w:val="22"/>
          <w:szCs w:val="22"/>
        </w:rPr>
        <w:t>ducación</w:t>
      </w:r>
      <w:r w:rsidR="00846C8E" w:rsidRPr="00FD7602">
        <w:rPr>
          <w:rFonts w:ascii="Garamond" w:eastAsia="Verdana" w:hAnsi="Garamond"/>
          <w:sz w:val="22"/>
          <w:szCs w:val="22"/>
        </w:rPr>
        <w:t>, s</w:t>
      </w:r>
      <w:r w:rsidRPr="00FD7602">
        <w:rPr>
          <w:rFonts w:ascii="Garamond" w:eastAsia="Verdana" w:hAnsi="Garamond"/>
          <w:sz w:val="22"/>
          <w:szCs w:val="22"/>
        </w:rPr>
        <w:t>alud</w:t>
      </w:r>
      <w:r w:rsidR="00846C8E" w:rsidRPr="00FD7602">
        <w:rPr>
          <w:rFonts w:ascii="Garamond" w:eastAsia="Verdana" w:hAnsi="Garamond"/>
          <w:sz w:val="22"/>
          <w:szCs w:val="22"/>
        </w:rPr>
        <w:t>, t</w:t>
      </w:r>
      <w:r w:rsidRPr="00FD7602">
        <w:rPr>
          <w:rFonts w:ascii="Garamond" w:eastAsia="Verdana" w:hAnsi="Garamond"/>
          <w:sz w:val="22"/>
          <w:szCs w:val="22"/>
        </w:rPr>
        <w:t>elecomunicaciones</w:t>
      </w:r>
      <w:r w:rsidR="00846C8E" w:rsidRPr="00FD7602">
        <w:rPr>
          <w:rFonts w:ascii="Garamond" w:eastAsia="Verdana" w:hAnsi="Garamond"/>
          <w:sz w:val="22"/>
          <w:szCs w:val="22"/>
        </w:rPr>
        <w:t xml:space="preserve"> y los s</w:t>
      </w:r>
      <w:r w:rsidRPr="00FD7602">
        <w:rPr>
          <w:rFonts w:ascii="Garamond" w:eastAsia="Verdana" w:hAnsi="Garamond"/>
          <w:sz w:val="22"/>
          <w:szCs w:val="22"/>
        </w:rPr>
        <w:t xml:space="preserve">ervicios </w:t>
      </w:r>
      <w:r w:rsidR="00846C8E" w:rsidRPr="00FD7602">
        <w:rPr>
          <w:rFonts w:ascii="Garamond" w:eastAsia="Verdana" w:hAnsi="Garamond"/>
          <w:sz w:val="22"/>
          <w:szCs w:val="22"/>
        </w:rPr>
        <w:t>p</w:t>
      </w:r>
      <w:r w:rsidRPr="00FD7602">
        <w:rPr>
          <w:rFonts w:ascii="Garamond" w:eastAsia="Verdana" w:hAnsi="Garamond"/>
          <w:sz w:val="22"/>
          <w:szCs w:val="22"/>
        </w:rPr>
        <w:t>rofesionales</w:t>
      </w:r>
      <w:r w:rsidR="00846C8E" w:rsidRPr="00FD7602">
        <w:rPr>
          <w:rFonts w:ascii="Garamond" w:eastAsia="Verdana" w:hAnsi="Garamond"/>
          <w:sz w:val="22"/>
          <w:szCs w:val="22"/>
        </w:rPr>
        <w:t>.</w:t>
      </w:r>
    </w:p>
    <w:p w14:paraId="357B0E65" w14:textId="77777777" w:rsidR="00DE7B5D" w:rsidRPr="00FD7602" w:rsidRDefault="00DE7B5D" w:rsidP="00C46EDC">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p>
    <w:p w14:paraId="4CE40BB6" w14:textId="77777777" w:rsidR="00EC0909" w:rsidRPr="00FD7602" w:rsidRDefault="00103F98"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sz w:val="22"/>
          <w:szCs w:val="22"/>
        </w:rPr>
        <w:t>Estos sectores interactúan y se complementan entre sí, formando la estructura de la economía colombiana.</w:t>
      </w:r>
    </w:p>
    <w:p w14:paraId="63A228D8" w14:textId="77777777" w:rsidR="00EC0909" w:rsidRPr="00FD7602" w:rsidRDefault="00EC090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p>
    <w:p w14:paraId="5F05DD9A" w14:textId="77777777" w:rsidR="00935AC9" w:rsidRPr="00FD7602" w:rsidRDefault="00B36B8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sz w:val="22"/>
          <w:szCs w:val="22"/>
        </w:rPr>
        <w:t>El nivel de desarrollo económico de un país está relacionado con los sectores que prevalecen.</w:t>
      </w:r>
    </w:p>
    <w:p w14:paraId="7F1355CD" w14:textId="77777777" w:rsidR="00935AC9" w:rsidRPr="00FD7602" w:rsidRDefault="00935AC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p>
    <w:p w14:paraId="23CF9927" w14:textId="77777777" w:rsidR="00B36B89" w:rsidRPr="00FD7602" w:rsidRDefault="00B36B8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sz w:val="22"/>
          <w:szCs w:val="22"/>
        </w:rPr>
        <w:t>Por ejemplo, en los países en desarrollo o subdesarrollados, la mayoría de las personas en capacidad de trabajar se concentran en el sector primario. Mientras en las sociedades de elevado nivel de desarrollo predomina el sector terciario seguido del sector secundario.</w:t>
      </w:r>
    </w:p>
    <w:p w14:paraId="6E33346C" w14:textId="77777777" w:rsidR="00EC0909" w:rsidRPr="00FD7602" w:rsidRDefault="00EC090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p>
    <w:p w14:paraId="3D6F0979" w14:textId="77777777" w:rsidR="00B36B89" w:rsidRPr="00FD7602" w:rsidRDefault="00B36B89" w:rsidP="00C46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right="49"/>
        <w:jc w:val="both"/>
        <w:rPr>
          <w:rFonts w:ascii="Garamond" w:eastAsia="Verdana" w:hAnsi="Garamond"/>
          <w:sz w:val="22"/>
          <w:szCs w:val="22"/>
        </w:rPr>
      </w:pPr>
      <w:r w:rsidRPr="00FD7602">
        <w:rPr>
          <w:rFonts w:ascii="Garamond" w:eastAsia="Verdana" w:hAnsi="Garamond"/>
          <w:sz w:val="22"/>
          <w:szCs w:val="22"/>
        </w:rPr>
        <w:t>A continuación, se muestran los sectores que identifican el presente proceso con la actual necesidad de acuerdo, al “Sistema de Clasificación Industrial Internacional Uniforme” -CIIU</w:t>
      </w:r>
      <w:r w:rsidR="00EC0909" w:rsidRPr="00FD7602">
        <w:rPr>
          <w:rFonts w:ascii="Garamond" w:eastAsia="Verdana" w:hAnsi="Garamond"/>
          <w:sz w:val="22"/>
          <w:szCs w:val="22"/>
        </w:rPr>
        <w:t>.</w:t>
      </w:r>
    </w:p>
    <w:p w14:paraId="67CB32B5" w14:textId="77777777" w:rsidR="00EC0909" w:rsidRPr="00FD7602" w:rsidRDefault="00EC0909" w:rsidP="00AE7FD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971"/>
        <w:gridCol w:w="6798"/>
      </w:tblGrid>
      <w:tr w:rsidR="0094395E" w:rsidRPr="00FD7602" w14:paraId="33DDF98A" w14:textId="77777777" w:rsidTr="0094395E">
        <w:trPr>
          <w:tblHeader/>
        </w:trPr>
        <w:tc>
          <w:tcPr>
            <w:tcW w:w="1971" w:type="dxa"/>
            <w:shd w:val="clear" w:color="auto" w:fill="BFBFBF" w:themeFill="background1" w:themeFillShade="BF"/>
          </w:tcPr>
          <w:p w14:paraId="79653C17" w14:textId="77777777" w:rsidR="0094395E" w:rsidRPr="00FD7602" w:rsidRDefault="0094395E" w:rsidP="00943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b/>
                <w:bCs/>
                <w:sz w:val="22"/>
                <w:szCs w:val="22"/>
              </w:rPr>
            </w:pPr>
            <w:r w:rsidRPr="00FD7602">
              <w:rPr>
                <w:rFonts w:ascii="Garamond" w:eastAsia="Verdana" w:hAnsi="Garamond"/>
                <w:b/>
                <w:bCs/>
                <w:sz w:val="22"/>
                <w:szCs w:val="22"/>
              </w:rPr>
              <w:t>CODIGO CIIU</w:t>
            </w:r>
          </w:p>
        </w:tc>
        <w:tc>
          <w:tcPr>
            <w:tcW w:w="6798" w:type="dxa"/>
            <w:shd w:val="clear" w:color="auto" w:fill="BFBFBF" w:themeFill="background1" w:themeFillShade="BF"/>
          </w:tcPr>
          <w:p w14:paraId="3BBF459A" w14:textId="77777777" w:rsidR="0094395E" w:rsidRPr="00FD7602" w:rsidRDefault="0094395E" w:rsidP="00943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b/>
                <w:bCs/>
                <w:sz w:val="22"/>
                <w:szCs w:val="22"/>
              </w:rPr>
            </w:pPr>
            <w:r w:rsidRPr="00FD7602">
              <w:rPr>
                <w:rFonts w:ascii="Garamond" w:eastAsia="Verdana" w:hAnsi="Garamond"/>
                <w:b/>
                <w:bCs/>
                <w:sz w:val="22"/>
                <w:szCs w:val="22"/>
              </w:rPr>
              <w:t>NOMBRE</w:t>
            </w:r>
          </w:p>
        </w:tc>
      </w:tr>
      <w:tr w:rsidR="0094395E" w:rsidRPr="00FD7602" w14:paraId="0FB94BF8" w14:textId="77777777" w:rsidTr="0094395E">
        <w:trPr>
          <w:trHeight w:val="495"/>
        </w:trPr>
        <w:tc>
          <w:tcPr>
            <w:tcW w:w="1971" w:type="dxa"/>
            <w:vAlign w:val="center"/>
          </w:tcPr>
          <w:p w14:paraId="65BAFFBE" w14:textId="77777777" w:rsidR="0094395E" w:rsidRPr="00FD7602" w:rsidRDefault="00EA34BE" w:rsidP="00D62A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Garamond" w:eastAsia="Verdana" w:hAnsi="Garamond"/>
                <w:sz w:val="22"/>
                <w:szCs w:val="22"/>
              </w:rPr>
            </w:pPr>
            <w:r w:rsidRPr="00FD7602">
              <w:rPr>
                <w:rFonts w:ascii="Garamond" w:eastAsia="Verdana" w:hAnsi="Garamond"/>
                <w:sz w:val="22"/>
                <w:szCs w:val="22"/>
              </w:rPr>
              <w:t>9499</w:t>
            </w:r>
          </w:p>
        </w:tc>
        <w:tc>
          <w:tcPr>
            <w:tcW w:w="6798" w:type="dxa"/>
            <w:vAlign w:val="center"/>
          </w:tcPr>
          <w:p w14:paraId="51F20958" w14:textId="77777777" w:rsidR="00EA34BE" w:rsidRPr="00FD7602" w:rsidRDefault="00EA34BE" w:rsidP="00EA34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r w:rsidRPr="00FD7602">
              <w:rPr>
                <w:rFonts w:ascii="Garamond" w:eastAsia="Verdana" w:hAnsi="Garamond"/>
                <w:sz w:val="22"/>
                <w:szCs w:val="22"/>
              </w:rPr>
              <w:t xml:space="preserve">Actividades de otras asociaciones </w:t>
            </w:r>
            <w:proofErr w:type="spellStart"/>
            <w:r w:rsidRPr="00FD7602">
              <w:rPr>
                <w:rFonts w:ascii="Garamond" w:eastAsia="Verdana" w:hAnsi="Garamond"/>
                <w:sz w:val="22"/>
                <w:szCs w:val="22"/>
              </w:rPr>
              <w:t>n.c.p</w:t>
            </w:r>
            <w:proofErr w:type="spellEnd"/>
            <w:r w:rsidRPr="00FD7602">
              <w:rPr>
                <w:rFonts w:ascii="Garamond" w:eastAsia="Verdana" w:hAnsi="Garamond"/>
                <w:sz w:val="22"/>
                <w:szCs w:val="22"/>
              </w:rPr>
              <w:t>.</w:t>
            </w:r>
          </w:p>
          <w:p w14:paraId="4D5D4F55" w14:textId="77777777" w:rsidR="0094395E" w:rsidRPr="00FD7602" w:rsidRDefault="00EA34BE" w:rsidP="00EA34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r w:rsidRPr="00FD7602">
              <w:rPr>
                <w:rFonts w:ascii="Garamond" w:eastAsia="Verdana" w:hAnsi="Garamond"/>
                <w:sz w:val="22"/>
                <w:szCs w:val="22"/>
              </w:rPr>
              <w:t>Incluye las actividades de organizaciones cuya finalidad principal no sea la generación de ganancias, que promueven intereses y actividades de grupos específicos, incluyendo actividades de desarrollo comunitario, fortalecimiento organizacional, y promoción cultural</w:t>
            </w:r>
            <w:r w:rsidR="00ED4298" w:rsidRPr="00FD7602">
              <w:rPr>
                <w:rFonts w:ascii="Garamond" w:eastAsia="Verdana" w:hAnsi="Garamond"/>
                <w:sz w:val="22"/>
                <w:szCs w:val="22"/>
              </w:rPr>
              <w:t>.</w:t>
            </w:r>
          </w:p>
        </w:tc>
      </w:tr>
      <w:tr w:rsidR="0094395E" w:rsidRPr="00FD7602" w14:paraId="4D19EB48" w14:textId="77777777" w:rsidTr="0094395E">
        <w:trPr>
          <w:trHeight w:val="495"/>
        </w:trPr>
        <w:tc>
          <w:tcPr>
            <w:tcW w:w="1971" w:type="dxa"/>
            <w:vAlign w:val="center"/>
          </w:tcPr>
          <w:p w14:paraId="52A425A3" w14:textId="77777777" w:rsidR="0094395E" w:rsidRPr="00FD7602" w:rsidRDefault="000E6400" w:rsidP="00D62A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Garamond" w:eastAsia="Verdana" w:hAnsi="Garamond"/>
                <w:sz w:val="22"/>
                <w:szCs w:val="22"/>
                <w:highlight w:val="yellow"/>
              </w:rPr>
            </w:pPr>
            <w:r w:rsidRPr="00FD7602">
              <w:rPr>
                <w:rFonts w:ascii="Garamond" w:eastAsia="Verdana" w:hAnsi="Garamond"/>
                <w:sz w:val="22"/>
                <w:szCs w:val="22"/>
              </w:rPr>
              <w:t>900</w:t>
            </w:r>
            <w:r w:rsidR="00ED4298" w:rsidRPr="00FD7602">
              <w:rPr>
                <w:rFonts w:ascii="Garamond" w:eastAsia="Verdana" w:hAnsi="Garamond"/>
                <w:sz w:val="22"/>
                <w:szCs w:val="22"/>
              </w:rPr>
              <w:t>0</w:t>
            </w:r>
          </w:p>
        </w:tc>
        <w:tc>
          <w:tcPr>
            <w:tcW w:w="6798" w:type="dxa"/>
            <w:vAlign w:val="center"/>
          </w:tcPr>
          <w:p w14:paraId="7E44AF0F" w14:textId="77777777" w:rsidR="000E6400" w:rsidRPr="00FD7602" w:rsidRDefault="000E6400" w:rsidP="000E64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p>
          <w:p w14:paraId="2BFCD247" w14:textId="77777777" w:rsidR="000E6400" w:rsidRPr="00FD7602" w:rsidRDefault="000E6400" w:rsidP="000E64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r w:rsidRPr="00FD7602">
              <w:rPr>
                <w:rFonts w:ascii="Garamond" w:eastAsia="Verdana" w:hAnsi="Garamond"/>
                <w:sz w:val="22"/>
                <w:szCs w:val="22"/>
              </w:rPr>
              <w:t>Actividades creativas, artísticas y de entretenimiento</w:t>
            </w:r>
            <w:r w:rsidR="00ED4298" w:rsidRPr="00FD7602">
              <w:rPr>
                <w:rFonts w:ascii="Garamond" w:eastAsia="Verdana" w:hAnsi="Garamond"/>
                <w:sz w:val="22"/>
                <w:szCs w:val="22"/>
              </w:rPr>
              <w:t>.</w:t>
            </w:r>
          </w:p>
          <w:p w14:paraId="1D1BC324" w14:textId="77777777" w:rsidR="0094395E" w:rsidRPr="00FD7602" w:rsidRDefault="000E6400" w:rsidP="000E64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highlight w:val="yellow"/>
              </w:rPr>
            </w:pPr>
            <w:r w:rsidRPr="00FD7602">
              <w:rPr>
                <w:rFonts w:ascii="Garamond" w:eastAsia="Verdana" w:hAnsi="Garamond"/>
                <w:sz w:val="22"/>
                <w:szCs w:val="22"/>
              </w:rPr>
              <w:t>Incluye la realización de actividades culturales, eventos artísticos, promoción de expresiones culturales y manifestaciones propias de las comunidades.</w:t>
            </w:r>
          </w:p>
        </w:tc>
      </w:tr>
      <w:tr w:rsidR="00D62A0D" w:rsidRPr="00FD7602" w14:paraId="10D30FAC" w14:textId="77777777" w:rsidTr="0094395E">
        <w:trPr>
          <w:trHeight w:val="495"/>
        </w:trPr>
        <w:tc>
          <w:tcPr>
            <w:tcW w:w="1971" w:type="dxa"/>
            <w:vAlign w:val="center"/>
          </w:tcPr>
          <w:p w14:paraId="766413A0" w14:textId="77777777" w:rsidR="00D62A0D" w:rsidRPr="00FD7602" w:rsidRDefault="00D62A0D" w:rsidP="00D62A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Garamond" w:eastAsia="Verdana" w:hAnsi="Garamond"/>
                <w:sz w:val="22"/>
                <w:szCs w:val="22"/>
              </w:rPr>
            </w:pPr>
            <w:r w:rsidRPr="00FD7602">
              <w:rPr>
                <w:rFonts w:ascii="Garamond" w:eastAsia="Verdana" w:hAnsi="Garamond"/>
                <w:sz w:val="22"/>
                <w:szCs w:val="22"/>
              </w:rPr>
              <w:t>8559</w:t>
            </w:r>
          </w:p>
        </w:tc>
        <w:tc>
          <w:tcPr>
            <w:tcW w:w="6798" w:type="dxa"/>
            <w:vAlign w:val="center"/>
          </w:tcPr>
          <w:p w14:paraId="7851E598" w14:textId="77777777" w:rsidR="00D62A0D" w:rsidRPr="00FD7602" w:rsidRDefault="00D62A0D" w:rsidP="00D62A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r w:rsidRPr="00FD7602">
              <w:rPr>
                <w:rFonts w:ascii="Garamond" w:eastAsia="Verdana" w:hAnsi="Garamond"/>
                <w:sz w:val="22"/>
                <w:szCs w:val="22"/>
              </w:rPr>
              <w:t xml:space="preserve">Otros tipos de educación </w:t>
            </w:r>
            <w:proofErr w:type="spellStart"/>
            <w:r w:rsidRPr="00FD7602">
              <w:rPr>
                <w:rFonts w:ascii="Garamond" w:eastAsia="Verdana" w:hAnsi="Garamond"/>
                <w:sz w:val="22"/>
                <w:szCs w:val="22"/>
              </w:rPr>
              <w:t>n.c.p</w:t>
            </w:r>
            <w:proofErr w:type="spellEnd"/>
            <w:r w:rsidRPr="00FD7602">
              <w:rPr>
                <w:rFonts w:ascii="Garamond" w:eastAsia="Verdana" w:hAnsi="Garamond"/>
                <w:sz w:val="22"/>
                <w:szCs w:val="22"/>
              </w:rPr>
              <w:t>.</w:t>
            </w:r>
          </w:p>
          <w:p w14:paraId="78E1FDD0" w14:textId="77777777" w:rsidR="00D62A0D" w:rsidRPr="00FD7602" w:rsidRDefault="00D62A0D" w:rsidP="00D62A0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r w:rsidRPr="00FD7602">
              <w:rPr>
                <w:rFonts w:ascii="Garamond" w:eastAsia="Verdana" w:hAnsi="Garamond"/>
                <w:sz w:val="22"/>
                <w:szCs w:val="22"/>
              </w:rPr>
              <w:t>Incluye actividades de capacitación no formal, talleres, formación en oficios o actividades productivas sin otorgar títulos académicos.</w:t>
            </w:r>
          </w:p>
        </w:tc>
      </w:tr>
    </w:tbl>
    <w:p w14:paraId="0C0CFDBF" w14:textId="77777777" w:rsidR="00F91CA0" w:rsidRPr="00FD7602" w:rsidRDefault="00F91CA0" w:rsidP="00AE7FD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both"/>
        <w:rPr>
          <w:rFonts w:ascii="Garamond" w:eastAsia="Verdana" w:hAnsi="Garamond"/>
          <w:sz w:val="22"/>
          <w:szCs w:val="22"/>
        </w:rPr>
      </w:pPr>
    </w:p>
    <w:p w14:paraId="696F4E11" w14:textId="77777777" w:rsidR="00B36B89" w:rsidRPr="00FD7602" w:rsidRDefault="00B36B89" w:rsidP="00D62A0D">
      <w:pPr>
        <w:jc w:val="both"/>
        <w:rPr>
          <w:rFonts w:ascii="Garamond" w:eastAsia="Verdana" w:hAnsi="Garamond"/>
          <w:b/>
          <w:bCs/>
          <w:sz w:val="22"/>
          <w:szCs w:val="22"/>
        </w:rPr>
      </w:pPr>
      <w:bookmarkStart w:id="1" w:name="_Hlk168569525"/>
      <w:r w:rsidRPr="00FD7602">
        <w:rPr>
          <w:rFonts w:ascii="Garamond" w:eastAsia="Verdana" w:hAnsi="Garamond"/>
          <w:b/>
          <w:bCs/>
          <w:sz w:val="22"/>
          <w:szCs w:val="22"/>
        </w:rPr>
        <w:t>CÓDIGO CLASIFICACIÓN UNSPSC</w:t>
      </w:r>
    </w:p>
    <w:p w14:paraId="6E12DF87" w14:textId="77777777" w:rsidR="00FF126F" w:rsidRPr="00FD7602" w:rsidRDefault="00FF126F" w:rsidP="00FF126F">
      <w:pPr>
        <w:pStyle w:val="Prrafodelista"/>
        <w:jc w:val="both"/>
        <w:rPr>
          <w:rFonts w:ascii="Garamond" w:eastAsia="Verdana" w:hAnsi="Garamond"/>
          <w:b/>
          <w:bCs/>
          <w:sz w:val="22"/>
          <w:szCs w:val="22"/>
        </w:rPr>
      </w:pPr>
    </w:p>
    <w:bookmarkEnd w:id="1"/>
    <w:p w14:paraId="651639D3" w14:textId="77777777" w:rsidR="00852FFE" w:rsidRPr="00FD7602" w:rsidRDefault="00852FFE" w:rsidP="00852FFE">
      <w:pPr>
        <w:jc w:val="both"/>
        <w:rPr>
          <w:rFonts w:ascii="Garamond" w:eastAsia="Calibri" w:hAnsi="Garamond"/>
          <w:sz w:val="22"/>
          <w:szCs w:val="22"/>
        </w:rPr>
      </w:pPr>
      <w:r w:rsidRPr="00FD7602">
        <w:rPr>
          <w:rFonts w:ascii="Garamond" w:hAnsi="Garamond"/>
          <w:sz w:val="22"/>
          <w:szCs w:val="22"/>
        </w:rPr>
        <w:t>El presente estudio de sector se realiza en cumplimiento de lo dispuesto en el artículo 2.2.1.1.1.6.1 del Decreto 1082 de 2015, norma que establece el deber de las entidades estatales de efectuar, durante la etapa de planeación, el análisis necesario para conocer el sector relativo al objeto contractual desde la perspectiva legal, comercial, financiera, organizacional, técnica y de riesgos.</w:t>
      </w:r>
    </w:p>
    <w:p w14:paraId="20B53031" w14:textId="77777777" w:rsidR="00852FFE" w:rsidRPr="00FD7602" w:rsidRDefault="00852FFE" w:rsidP="00852FFE">
      <w:pPr>
        <w:jc w:val="both"/>
        <w:rPr>
          <w:rFonts w:ascii="Garamond" w:eastAsia="Calibri" w:hAnsi="Garamond"/>
          <w:sz w:val="22"/>
          <w:szCs w:val="22"/>
        </w:rPr>
      </w:pPr>
    </w:p>
    <w:p w14:paraId="620687CA" w14:textId="77777777" w:rsidR="00852FFE" w:rsidRPr="00FD7602" w:rsidRDefault="00852FFE" w:rsidP="00852FFE">
      <w:pPr>
        <w:jc w:val="both"/>
        <w:rPr>
          <w:rFonts w:ascii="Garamond" w:eastAsia="Calibri" w:hAnsi="Garamond"/>
          <w:sz w:val="22"/>
          <w:szCs w:val="22"/>
        </w:rPr>
      </w:pPr>
      <w:r w:rsidRPr="00FD7602">
        <w:rPr>
          <w:rFonts w:ascii="Garamond" w:hAnsi="Garamond"/>
          <w:sz w:val="22"/>
          <w:szCs w:val="22"/>
        </w:rPr>
        <w:lastRenderedPageBreak/>
        <w:t>Así mismo, se acogen los lineamientos de Colombia Compra Eficiente sobre estudios del sector, en especial la necesidad de identificar la categoría de compra, las condiciones de mercado, la oferta disponible, la demanda histórica, las fuentes consultadas y las eventuales restricciones de acceso a la información, de forma que la contratación responda a criterios de eficiencia, transparencia, pertinencia y adecuada planeación.</w:t>
      </w:r>
    </w:p>
    <w:p w14:paraId="2F942EDE" w14:textId="77777777" w:rsidR="00852FFE" w:rsidRPr="00FD7602" w:rsidRDefault="00852FFE" w:rsidP="00852FFE">
      <w:pPr>
        <w:jc w:val="both"/>
        <w:rPr>
          <w:rFonts w:ascii="Garamond" w:eastAsia="Calibri" w:hAnsi="Garamond"/>
          <w:sz w:val="22"/>
          <w:szCs w:val="22"/>
        </w:rPr>
      </w:pPr>
    </w:p>
    <w:p w14:paraId="62D6D65C" w14:textId="77777777" w:rsidR="00B36B89" w:rsidRPr="00FD7602" w:rsidRDefault="00852FFE" w:rsidP="00852FFE">
      <w:pPr>
        <w:jc w:val="both"/>
        <w:rPr>
          <w:rFonts w:ascii="Garamond" w:eastAsia="Calibri" w:hAnsi="Garamond"/>
          <w:sz w:val="22"/>
          <w:szCs w:val="22"/>
        </w:rPr>
      </w:pPr>
      <w:r w:rsidRPr="00FD7602">
        <w:rPr>
          <w:rFonts w:ascii="Garamond" w:eastAsia="Calibri" w:hAnsi="Garamond"/>
          <w:sz w:val="22"/>
          <w:szCs w:val="22"/>
        </w:rPr>
        <w:t>En este sentido, el Fondo de Desarrollo Local de Ciudad Bolívar adelanta el presente estudio como parte integral del proceso de planeación, con el fin de garantizar la eficiencia, transparencia y adecuada estructuración del contrato, en armonía con las disposiciones legales y las mejores prácticas del Sistema de Compra Pública.</w:t>
      </w:r>
    </w:p>
    <w:p w14:paraId="66EA6DD9" w14:textId="77777777" w:rsidR="008B14CE" w:rsidRPr="00FD7602" w:rsidRDefault="008B14CE" w:rsidP="00852FFE">
      <w:pPr>
        <w:jc w:val="both"/>
        <w:rPr>
          <w:rFonts w:ascii="Garamond" w:eastAsia="Calibri" w:hAnsi="Garamond"/>
          <w:sz w:val="22"/>
          <w:szCs w:val="22"/>
        </w:rPr>
      </w:pPr>
    </w:p>
    <w:tbl>
      <w:tblPr>
        <w:tblW w:w="4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27"/>
        <w:gridCol w:w="2203"/>
        <w:gridCol w:w="1646"/>
        <w:gridCol w:w="1899"/>
      </w:tblGrid>
      <w:tr w:rsidR="00181D17" w:rsidRPr="00FD7602" w14:paraId="656B1C63" w14:textId="77777777" w:rsidTr="00181D17">
        <w:trPr>
          <w:trHeight w:val="567"/>
          <w:jc w:val="center"/>
        </w:trPr>
        <w:tc>
          <w:tcPr>
            <w:tcW w:w="1441" w:type="pct"/>
            <w:shd w:val="clear" w:color="auto" w:fill="F2F2F2"/>
            <w:tcMar>
              <w:top w:w="0" w:type="dxa"/>
              <w:left w:w="70" w:type="dxa"/>
              <w:bottom w:w="0" w:type="dxa"/>
              <w:right w:w="70" w:type="dxa"/>
            </w:tcMar>
            <w:vAlign w:val="center"/>
            <w:hideMark/>
          </w:tcPr>
          <w:p w14:paraId="4A850349"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Clasificación UNSPSC</w:t>
            </w:r>
          </w:p>
        </w:tc>
        <w:tc>
          <w:tcPr>
            <w:tcW w:w="1364" w:type="pct"/>
            <w:shd w:val="clear" w:color="auto" w:fill="F2F2F2"/>
            <w:tcMar>
              <w:top w:w="0" w:type="dxa"/>
              <w:left w:w="70" w:type="dxa"/>
              <w:bottom w:w="0" w:type="dxa"/>
              <w:right w:w="70" w:type="dxa"/>
            </w:tcMar>
            <w:vAlign w:val="center"/>
            <w:hideMark/>
          </w:tcPr>
          <w:p w14:paraId="6BDBDF1C"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Segmento</w:t>
            </w:r>
          </w:p>
        </w:tc>
        <w:tc>
          <w:tcPr>
            <w:tcW w:w="1019" w:type="pct"/>
            <w:shd w:val="clear" w:color="auto" w:fill="F2F2F2"/>
            <w:tcMar>
              <w:top w:w="0" w:type="dxa"/>
              <w:left w:w="70" w:type="dxa"/>
              <w:bottom w:w="0" w:type="dxa"/>
              <w:right w:w="70" w:type="dxa"/>
            </w:tcMar>
            <w:vAlign w:val="center"/>
            <w:hideMark/>
          </w:tcPr>
          <w:p w14:paraId="6D0B1BF9"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Familia</w:t>
            </w:r>
          </w:p>
        </w:tc>
        <w:tc>
          <w:tcPr>
            <w:tcW w:w="1176" w:type="pct"/>
            <w:shd w:val="clear" w:color="auto" w:fill="F2F2F2"/>
            <w:tcMar>
              <w:top w:w="0" w:type="dxa"/>
              <w:left w:w="70" w:type="dxa"/>
              <w:bottom w:w="0" w:type="dxa"/>
              <w:right w:w="70" w:type="dxa"/>
            </w:tcMar>
            <w:vAlign w:val="center"/>
            <w:hideMark/>
          </w:tcPr>
          <w:p w14:paraId="5E3D0163"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Clase</w:t>
            </w:r>
          </w:p>
        </w:tc>
      </w:tr>
      <w:tr w:rsidR="00181D17" w:rsidRPr="00FD7602" w14:paraId="33F87442" w14:textId="77777777" w:rsidTr="00181D17">
        <w:trPr>
          <w:trHeight w:val="238"/>
          <w:jc w:val="center"/>
        </w:trPr>
        <w:tc>
          <w:tcPr>
            <w:tcW w:w="1441" w:type="pct"/>
            <w:tcMar>
              <w:top w:w="0" w:type="dxa"/>
              <w:left w:w="70" w:type="dxa"/>
              <w:bottom w:w="0" w:type="dxa"/>
              <w:right w:w="70" w:type="dxa"/>
            </w:tcMar>
            <w:vAlign w:val="center"/>
          </w:tcPr>
          <w:p w14:paraId="592CF19B"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Materiales de enseñanza para entender o tratar con la diversidad cultural</w:t>
            </w:r>
          </w:p>
        </w:tc>
        <w:tc>
          <w:tcPr>
            <w:tcW w:w="1364" w:type="pct"/>
            <w:tcMar>
              <w:top w:w="0" w:type="dxa"/>
              <w:left w:w="70" w:type="dxa"/>
              <w:bottom w:w="0" w:type="dxa"/>
              <w:right w:w="70" w:type="dxa"/>
            </w:tcMar>
            <w:vAlign w:val="center"/>
          </w:tcPr>
          <w:p w14:paraId="2C3DB9E0"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60000000</w:t>
            </w:r>
          </w:p>
        </w:tc>
        <w:tc>
          <w:tcPr>
            <w:tcW w:w="1019" w:type="pct"/>
            <w:tcMar>
              <w:top w:w="0" w:type="dxa"/>
              <w:left w:w="70" w:type="dxa"/>
              <w:bottom w:w="0" w:type="dxa"/>
              <w:right w:w="70" w:type="dxa"/>
            </w:tcMar>
            <w:vAlign w:val="center"/>
          </w:tcPr>
          <w:p w14:paraId="571095CC"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601000000</w:t>
            </w:r>
          </w:p>
        </w:tc>
        <w:tc>
          <w:tcPr>
            <w:tcW w:w="1176" w:type="pct"/>
            <w:tcMar>
              <w:top w:w="0" w:type="dxa"/>
              <w:left w:w="70" w:type="dxa"/>
              <w:bottom w:w="0" w:type="dxa"/>
              <w:right w:w="70" w:type="dxa"/>
            </w:tcMar>
            <w:vAlign w:val="center"/>
          </w:tcPr>
          <w:p w14:paraId="324FA1A1"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60105400</w:t>
            </w:r>
          </w:p>
        </w:tc>
      </w:tr>
      <w:tr w:rsidR="00181D17" w:rsidRPr="00FD7602" w14:paraId="48BB669B" w14:textId="77777777" w:rsidTr="00181D17">
        <w:trPr>
          <w:trHeight w:val="238"/>
          <w:jc w:val="center"/>
        </w:trPr>
        <w:tc>
          <w:tcPr>
            <w:tcW w:w="1441" w:type="pct"/>
            <w:tcMar>
              <w:top w:w="0" w:type="dxa"/>
              <w:left w:w="70" w:type="dxa"/>
              <w:bottom w:w="0" w:type="dxa"/>
              <w:right w:w="70" w:type="dxa"/>
            </w:tcMar>
            <w:vAlign w:val="center"/>
          </w:tcPr>
          <w:p w14:paraId="5D90C87D"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Servicios de asesoramiento para asuntos gubernamentales y de relaciones comunitarias</w:t>
            </w:r>
          </w:p>
        </w:tc>
        <w:tc>
          <w:tcPr>
            <w:tcW w:w="1364" w:type="pct"/>
            <w:tcMar>
              <w:top w:w="0" w:type="dxa"/>
              <w:left w:w="70" w:type="dxa"/>
              <w:bottom w:w="0" w:type="dxa"/>
              <w:right w:w="70" w:type="dxa"/>
            </w:tcMar>
            <w:vAlign w:val="center"/>
          </w:tcPr>
          <w:p w14:paraId="16684C50"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80000000</w:t>
            </w:r>
          </w:p>
        </w:tc>
        <w:tc>
          <w:tcPr>
            <w:tcW w:w="1019" w:type="pct"/>
            <w:tcMar>
              <w:top w:w="0" w:type="dxa"/>
              <w:left w:w="70" w:type="dxa"/>
              <w:bottom w:w="0" w:type="dxa"/>
              <w:right w:w="70" w:type="dxa"/>
            </w:tcMar>
            <w:vAlign w:val="center"/>
          </w:tcPr>
          <w:p w14:paraId="3A4457EE"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80100000</w:t>
            </w:r>
          </w:p>
        </w:tc>
        <w:tc>
          <w:tcPr>
            <w:tcW w:w="1176" w:type="pct"/>
            <w:tcMar>
              <w:top w:w="0" w:type="dxa"/>
              <w:left w:w="70" w:type="dxa"/>
              <w:bottom w:w="0" w:type="dxa"/>
              <w:right w:w="70" w:type="dxa"/>
            </w:tcMar>
            <w:vAlign w:val="center"/>
          </w:tcPr>
          <w:p w14:paraId="6AEE0825" w14:textId="77777777" w:rsidR="00181D17" w:rsidRPr="00FD7602" w:rsidRDefault="00181D17" w:rsidP="006D3122">
            <w:pPr>
              <w:jc w:val="center"/>
              <w:rPr>
                <w:rFonts w:ascii="Garamond" w:hAnsi="Garamond"/>
                <w:bCs/>
                <w:sz w:val="22"/>
                <w:szCs w:val="22"/>
              </w:rPr>
            </w:pPr>
            <w:r w:rsidRPr="00FD7602">
              <w:rPr>
                <w:rFonts w:ascii="Garamond" w:hAnsi="Garamond"/>
                <w:bCs/>
                <w:sz w:val="22"/>
                <w:szCs w:val="22"/>
              </w:rPr>
              <w:t>80101500</w:t>
            </w:r>
          </w:p>
        </w:tc>
      </w:tr>
      <w:tr w:rsidR="000A1248" w:rsidRPr="00FD7602" w14:paraId="5AE5D223" w14:textId="77777777" w:rsidTr="00181D17">
        <w:trPr>
          <w:trHeight w:val="274"/>
          <w:jc w:val="center"/>
        </w:trPr>
        <w:tc>
          <w:tcPr>
            <w:tcW w:w="1441" w:type="pct"/>
            <w:tcMar>
              <w:top w:w="0" w:type="dxa"/>
              <w:left w:w="70" w:type="dxa"/>
              <w:bottom w:w="0" w:type="dxa"/>
              <w:right w:w="70" w:type="dxa"/>
            </w:tcMar>
            <w:vAlign w:val="center"/>
          </w:tcPr>
          <w:p w14:paraId="2E0AD987" w14:textId="38BBA23C" w:rsidR="000A1248" w:rsidRPr="00FD7602" w:rsidRDefault="000A1248" w:rsidP="000A1248">
            <w:pPr>
              <w:jc w:val="center"/>
              <w:rPr>
                <w:rFonts w:ascii="Garamond" w:hAnsi="Garamond"/>
                <w:bCs/>
                <w:sz w:val="22"/>
                <w:szCs w:val="22"/>
              </w:rPr>
            </w:pPr>
            <w:r w:rsidRPr="00FD7602">
              <w:rPr>
                <w:rFonts w:ascii="Garamond" w:hAnsi="Garamond"/>
                <w:bCs/>
                <w:sz w:val="22"/>
                <w:szCs w:val="22"/>
              </w:rPr>
              <w:t>Servicios temporales de recursos humanos</w:t>
            </w:r>
          </w:p>
        </w:tc>
        <w:tc>
          <w:tcPr>
            <w:tcW w:w="1364" w:type="pct"/>
            <w:tcMar>
              <w:top w:w="0" w:type="dxa"/>
              <w:left w:w="70" w:type="dxa"/>
              <w:bottom w:w="0" w:type="dxa"/>
              <w:right w:w="70" w:type="dxa"/>
            </w:tcMar>
            <w:vAlign w:val="center"/>
          </w:tcPr>
          <w:p w14:paraId="7147CE4E" w14:textId="114BBC94" w:rsidR="000A1248" w:rsidRPr="00FD7602" w:rsidRDefault="000A1248" w:rsidP="000A1248">
            <w:pPr>
              <w:jc w:val="center"/>
              <w:rPr>
                <w:rFonts w:ascii="Garamond" w:hAnsi="Garamond"/>
                <w:bCs/>
                <w:sz w:val="22"/>
                <w:szCs w:val="22"/>
              </w:rPr>
            </w:pPr>
            <w:r w:rsidRPr="00FD7602">
              <w:rPr>
                <w:rFonts w:ascii="Garamond" w:hAnsi="Garamond"/>
                <w:bCs/>
                <w:sz w:val="22"/>
                <w:szCs w:val="22"/>
              </w:rPr>
              <w:t>80000000</w:t>
            </w:r>
          </w:p>
        </w:tc>
        <w:tc>
          <w:tcPr>
            <w:tcW w:w="1019" w:type="pct"/>
            <w:tcMar>
              <w:top w:w="0" w:type="dxa"/>
              <w:left w:w="70" w:type="dxa"/>
              <w:bottom w:w="0" w:type="dxa"/>
              <w:right w:w="70" w:type="dxa"/>
            </w:tcMar>
            <w:vAlign w:val="center"/>
          </w:tcPr>
          <w:p w14:paraId="6AC2845D" w14:textId="218E3902" w:rsidR="000A1248" w:rsidRPr="00FD7602" w:rsidRDefault="000A1248" w:rsidP="000A1248">
            <w:pPr>
              <w:jc w:val="center"/>
              <w:rPr>
                <w:rFonts w:ascii="Garamond" w:hAnsi="Garamond"/>
                <w:bCs/>
                <w:sz w:val="22"/>
                <w:szCs w:val="22"/>
              </w:rPr>
            </w:pPr>
            <w:r w:rsidRPr="00FD7602">
              <w:rPr>
                <w:rFonts w:ascii="Garamond" w:hAnsi="Garamond"/>
                <w:bCs/>
                <w:sz w:val="22"/>
                <w:szCs w:val="22"/>
              </w:rPr>
              <w:t>80110000</w:t>
            </w:r>
          </w:p>
        </w:tc>
        <w:tc>
          <w:tcPr>
            <w:tcW w:w="1176" w:type="pct"/>
            <w:tcMar>
              <w:top w:w="0" w:type="dxa"/>
              <w:left w:w="70" w:type="dxa"/>
              <w:bottom w:w="0" w:type="dxa"/>
              <w:right w:w="70" w:type="dxa"/>
            </w:tcMar>
            <w:vAlign w:val="center"/>
          </w:tcPr>
          <w:p w14:paraId="435CD1B5" w14:textId="682DC0E4" w:rsidR="000A1248" w:rsidRPr="00FD7602" w:rsidRDefault="000A1248" w:rsidP="000A1248">
            <w:pPr>
              <w:jc w:val="center"/>
              <w:rPr>
                <w:rFonts w:ascii="Garamond" w:hAnsi="Garamond"/>
                <w:bCs/>
                <w:sz w:val="22"/>
                <w:szCs w:val="22"/>
              </w:rPr>
            </w:pPr>
            <w:r w:rsidRPr="00FD7602">
              <w:rPr>
                <w:rFonts w:ascii="Garamond" w:hAnsi="Garamond"/>
                <w:bCs/>
                <w:sz w:val="22"/>
                <w:szCs w:val="22"/>
              </w:rPr>
              <w:t>80111600</w:t>
            </w:r>
          </w:p>
        </w:tc>
      </w:tr>
      <w:tr w:rsidR="000A1248" w:rsidRPr="00FD7602" w14:paraId="2C188E8F" w14:textId="77777777" w:rsidTr="00181D17">
        <w:trPr>
          <w:trHeight w:val="274"/>
          <w:jc w:val="center"/>
        </w:trPr>
        <w:tc>
          <w:tcPr>
            <w:tcW w:w="1441" w:type="pct"/>
            <w:tcMar>
              <w:top w:w="0" w:type="dxa"/>
              <w:left w:w="70" w:type="dxa"/>
              <w:bottom w:w="0" w:type="dxa"/>
              <w:right w:w="70" w:type="dxa"/>
            </w:tcMar>
            <w:vAlign w:val="center"/>
          </w:tcPr>
          <w:p w14:paraId="585C2931"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Logística</w:t>
            </w:r>
          </w:p>
        </w:tc>
        <w:tc>
          <w:tcPr>
            <w:tcW w:w="1364" w:type="pct"/>
            <w:tcMar>
              <w:top w:w="0" w:type="dxa"/>
              <w:left w:w="70" w:type="dxa"/>
              <w:bottom w:w="0" w:type="dxa"/>
              <w:right w:w="70" w:type="dxa"/>
            </w:tcMar>
            <w:vAlign w:val="center"/>
          </w:tcPr>
          <w:p w14:paraId="62A51151"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81000000</w:t>
            </w:r>
          </w:p>
        </w:tc>
        <w:tc>
          <w:tcPr>
            <w:tcW w:w="1019" w:type="pct"/>
            <w:tcMar>
              <w:top w:w="0" w:type="dxa"/>
              <w:left w:w="70" w:type="dxa"/>
              <w:bottom w:w="0" w:type="dxa"/>
              <w:right w:w="70" w:type="dxa"/>
            </w:tcMar>
            <w:vAlign w:val="center"/>
          </w:tcPr>
          <w:p w14:paraId="71964C6E"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81140000</w:t>
            </w:r>
          </w:p>
        </w:tc>
        <w:tc>
          <w:tcPr>
            <w:tcW w:w="1176" w:type="pct"/>
            <w:tcMar>
              <w:top w:w="0" w:type="dxa"/>
              <w:left w:w="70" w:type="dxa"/>
              <w:bottom w:w="0" w:type="dxa"/>
              <w:right w:w="70" w:type="dxa"/>
            </w:tcMar>
            <w:vAlign w:val="center"/>
          </w:tcPr>
          <w:p w14:paraId="2DFF0967"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81141600</w:t>
            </w:r>
          </w:p>
        </w:tc>
      </w:tr>
      <w:tr w:rsidR="000A1248" w:rsidRPr="00FD7602" w14:paraId="4D052BBB" w14:textId="77777777" w:rsidTr="00181D17">
        <w:trPr>
          <w:trHeight w:val="274"/>
          <w:jc w:val="center"/>
        </w:trPr>
        <w:tc>
          <w:tcPr>
            <w:tcW w:w="1441" w:type="pct"/>
            <w:tcMar>
              <w:top w:w="0" w:type="dxa"/>
              <w:left w:w="70" w:type="dxa"/>
              <w:bottom w:w="0" w:type="dxa"/>
              <w:right w:w="70" w:type="dxa"/>
            </w:tcMar>
            <w:vAlign w:val="center"/>
          </w:tcPr>
          <w:p w14:paraId="4521CB22"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Servicios de impresión </w:t>
            </w:r>
          </w:p>
        </w:tc>
        <w:tc>
          <w:tcPr>
            <w:tcW w:w="1364" w:type="pct"/>
            <w:tcMar>
              <w:top w:w="0" w:type="dxa"/>
              <w:left w:w="70" w:type="dxa"/>
              <w:bottom w:w="0" w:type="dxa"/>
              <w:right w:w="70" w:type="dxa"/>
            </w:tcMar>
            <w:vAlign w:val="center"/>
          </w:tcPr>
          <w:p w14:paraId="3C7AA042"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82000000</w:t>
            </w:r>
          </w:p>
        </w:tc>
        <w:tc>
          <w:tcPr>
            <w:tcW w:w="1019" w:type="pct"/>
            <w:tcMar>
              <w:top w:w="0" w:type="dxa"/>
              <w:left w:w="70" w:type="dxa"/>
              <w:bottom w:w="0" w:type="dxa"/>
              <w:right w:w="70" w:type="dxa"/>
            </w:tcMar>
            <w:vAlign w:val="center"/>
          </w:tcPr>
          <w:p w14:paraId="4762D3B3"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82120000</w:t>
            </w:r>
          </w:p>
        </w:tc>
        <w:tc>
          <w:tcPr>
            <w:tcW w:w="1176" w:type="pct"/>
            <w:tcMar>
              <w:top w:w="0" w:type="dxa"/>
              <w:left w:w="70" w:type="dxa"/>
              <w:bottom w:w="0" w:type="dxa"/>
              <w:right w:w="70" w:type="dxa"/>
            </w:tcMar>
            <w:vAlign w:val="center"/>
          </w:tcPr>
          <w:p w14:paraId="35605E0F"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82121500</w:t>
            </w:r>
          </w:p>
        </w:tc>
      </w:tr>
      <w:tr w:rsidR="000A1248" w:rsidRPr="00FD7602" w14:paraId="6C887FE3" w14:textId="77777777" w:rsidTr="00181D17">
        <w:trPr>
          <w:trHeight w:val="278"/>
          <w:jc w:val="center"/>
        </w:trPr>
        <w:tc>
          <w:tcPr>
            <w:tcW w:w="1441" w:type="pct"/>
            <w:tcMar>
              <w:top w:w="0" w:type="dxa"/>
              <w:left w:w="70" w:type="dxa"/>
              <w:bottom w:w="0" w:type="dxa"/>
              <w:right w:w="70" w:type="dxa"/>
            </w:tcMar>
            <w:vAlign w:val="center"/>
          </w:tcPr>
          <w:p w14:paraId="4052D80D"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Servicio de </w:t>
            </w:r>
            <w:proofErr w:type="spellStart"/>
            <w:r w:rsidRPr="00FD7602">
              <w:rPr>
                <w:rFonts w:ascii="Garamond" w:hAnsi="Garamond"/>
                <w:bCs/>
                <w:sz w:val="22"/>
                <w:szCs w:val="22"/>
              </w:rPr>
              <w:t>Cátering</w:t>
            </w:r>
            <w:proofErr w:type="spellEnd"/>
          </w:p>
        </w:tc>
        <w:tc>
          <w:tcPr>
            <w:tcW w:w="1364" w:type="pct"/>
            <w:tcMar>
              <w:top w:w="0" w:type="dxa"/>
              <w:left w:w="70" w:type="dxa"/>
              <w:bottom w:w="0" w:type="dxa"/>
              <w:right w:w="70" w:type="dxa"/>
            </w:tcMar>
            <w:vAlign w:val="center"/>
          </w:tcPr>
          <w:p w14:paraId="453737C0"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90100000</w:t>
            </w:r>
          </w:p>
        </w:tc>
        <w:tc>
          <w:tcPr>
            <w:tcW w:w="1019" w:type="pct"/>
            <w:tcMar>
              <w:top w:w="0" w:type="dxa"/>
              <w:left w:w="70" w:type="dxa"/>
              <w:bottom w:w="0" w:type="dxa"/>
              <w:right w:w="70" w:type="dxa"/>
            </w:tcMar>
            <w:vAlign w:val="center"/>
          </w:tcPr>
          <w:p w14:paraId="72629019"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90100000</w:t>
            </w:r>
          </w:p>
        </w:tc>
        <w:tc>
          <w:tcPr>
            <w:tcW w:w="1176" w:type="pct"/>
            <w:tcMar>
              <w:top w:w="0" w:type="dxa"/>
              <w:left w:w="70" w:type="dxa"/>
              <w:bottom w:w="0" w:type="dxa"/>
              <w:right w:w="70" w:type="dxa"/>
            </w:tcMar>
            <w:vAlign w:val="center"/>
          </w:tcPr>
          <w:p w14:paraId="4A3EF6A2"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90101600</w:t>
            </w:r>
          </w:p>
        </w:tc>
      </w:tr>
      <w:tr w:rsidR="000A1248" w:rsidRPr="00FD7602" w14:paraId="2F0E09C7" w14:textId="77777777" w:rsidTr="00181D17">
        <w:trPr>
          <w:trHeight w:val="278"/>
          <w:jc w:val="center"/>
        </w:trPr>
        <w:tc>
          <w:tcPr>
            <w:tcW w:w="1441" w:type="pct"/>
            <w:tcMar>
              <w:top w:w="0" w:type="dxa"/>
              <w:left w:w="70" w:type="dxa"/>
              <w:bottom w:w="0" w:type="dxa"/>
              <w:right w:w="70" w:type="dxa"/>
            </w:tcMar>
            <w:vAlign w:val="center"/>
          </w:tcPr>
          <w:p w14:paraId="4B9F1BE7"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Carnavales y ferias </w:t>
            </w:r>
          </w:p>
        </w:tc>
        <w:tc>
          <w:tcPr>
            <w:tcW w:w="1364" w:type="pct"/>
            <w:tcMar>
              <w:top w:w="0" w:type="dxa"/>
              <w:left w:w="70" w:type="dxa"/>
              <w:bottom w:w="0" w:type="dxa"/>
              <w:right w:w="70" w:type="dxa"/>
            </w:tcMar>
            <w:vAlign w:val="center"/>
          </w:tcPr>
          <w:p w14:paraId="31FE5140"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90000000</w:t>
            </w:r>
          </w:p>
        </w:tc>
        <w:tc>
          <w:tcPr>
            <w:tcW w:w="1019" w:type="pct"/>
            <w:tcMar>
              <w:top w:w="0" w:type="dxa"/>
              <w:left w:w="70" w:type="dxa"/>
              <w:bottom w:w="0" w:type="dxa"/>
              <w:right w:w="70" w:type="dxa"/>
            </w:tcMar>
            <w:vAlign w:val="center"/>
          </w:tcPr>
          <w:p w14:paraId="047FC00C"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90150000</w:t>
            </w:r>
          </w:p>
        </w:tc>
        <w:tc>
          <w:tcPr>
            <w:tcW w:w="1176" w:type="pct"/>
            <w:tcMar>
              <w:top w:w="0" w:type="dxa"/>
              <w:left w:w="70" w:type="dxa"/>
              <w:bottom w:w="0" w:type="dxa"/>
              <w:right w:w="70" w:type="dxa"/>
            </w:tcMar>
            <w:vAlign w:val="center"/>
          </w:tcPr>
          <w:p w14:paraId="33F73DE3"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90151800</w:t>
            </w:r>
          </w:p>
        </w:tc>
      </w:tr>
      <w:tr w:rsidR="000A1248" w:rsidRPr="00FD7602" w14:paraId="54E8A021" w14:textId="77777777" w:rsidTr="00181D17">
        <w:trPr>
          <w:trHeight w:val="278"/>
          <w:jc w:val="center"/>
        </w:trPr>
        <w:tc>
          <w:tcPr>
            <w:tcW w:w="1441" w:type="pct"/>
            <w:tcMar>
              <w:top w:w="0" w:type="dxa"/>
              <w:left w:w="70" w:type="dxa"/>
              <w:bottom w:w="0" w:type="dxa"/>
              <w:right w:w="70" w:type="dxa"/>
            </w:tcMar>
            <w:vAlign w:val="center"/>
          </w:tcPr>
          <w:p w14:paraId="4899E8BD"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Organización de eventos culturales </w:t>
            </w:r>
          </w:p>
        </w:tc>
        <w:tc>
          <w:tcPr>
            <w:tcW w:w="1364" w:type="pct"/>
            <w:tcMar>
              <w:top w:w="0" w:type="dxa"/>
              <w:left w:w="70" w:type="dxa"/>
              <w:bottom w:w="0" w:type="dxa"/>
              <w:right w:w="70" w:type="dxa"/>
            </w:tcMar>
            <w:vAlign w:val="center"/>
          </w:tcPr>
          <w:p w14:paraId="53828582"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93000000</w:t>
            </w:r>
          </w:p>
        </w:tc>
        <w:tc>
          <w:tcPr>
            <w:tcW w:w="1019" w:type="pct"/>
            <w:tcMar>
              <w:top w:w="0" w:type="dxa"/>
              <w:left w:w="70" w:type="dxa"/>
              <w:bottom w:w="0" w:type="dxa"/>
              <w:right w:w="70" w:type="dxa"/>
            </w:tcMar>
            <w:vAlign w:val="center"/>
          </w:tcPr>
          <w:p w14:paraId="5148A6D0"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93140000</w:t>
            </w:r>
          </w:p>
        </w:tc>
        <w:tc>
          <w:tcPr>
            <w:tcW w:w="1176" w:type="pct"/>
            <w:tcMar>
              <w:top w:w="0" w:type="dxa"/>
              <w:left w:w="70" w:type="dxa"/>
              <w:bottom w:w="0" w:type="dxa"/>
              <w:right w:w="70" w:type="dxa"/>
            </w:tcMar>
            <w:vAlign w:val="center"/>
          </w:tcPr>
          <w:p w14:paraId="6B346A8D"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93141701</w:t>
            </w:r>
          </w:p>
        </w:tc>
      </w:tr>
      <w:tr w:rsidR="000A1248" w:rsidRPr="00FD7602" w14:paraId="486F5A90" w14:textId="77777777" w:rsidTr="00181D17">
        <w:trPr>
          <w:trHeight w:val="278"/>
          <w:jc w:val="center"/>
        </w:trPr>
        <w:tc>
          <w:tcPr>
            <w:tcW w:w="1441" w:type="pct"/>
            <w:tcMar>
              <w:top w:w="0" w:type="dxa"/>
              <w:left w:w="70" w:type="dxa"/>
              <w:bottom w:w="0" w:type="dxa"/>
              <w:right w:w="70" w:type="dxa"/>
            </w:tcMar>
            <w:vAlign w:val="center"/>
          </w:tcPr>
          <w:p w14:paraId="4E33493B" w14:textId="35812D91"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Servicios socioculturales </w:t>
            </w:r>
          </w:p>
        </w:tc>
        <w:tc>
          <w:tcPr>
            <w:tcW w:w="1364" w:type="pct"/>
            <w:tcMar>
              <w:top w:w="0" w:type="dxa"/>
              <w:left w:w="70" w:type="dxa"/>
              <w:bottom w:w="0" w:type="dxa"/>
              <w:right w:w="70" w:type="dxa"/>
            </w:tcMar>
            <w:vAlign w:val="center"/>
          </w:tcPr>
          <w:p w14:paraId="208D3620" w14:textId="37BDDADC" w:rsidR="000A1248" w:rsidRPr="00FD7602" w:rsidRDefault="000A1248" w:rsidP="000A1248">
            <w:pPr>
              <w:jc w:val="center"/>
              <w:rPr>
                <w:rFonts w:ascii="Garamond" w:hAnsi="Garamond"/>
                <w:bCs/>
                <w:sz w:val="22"/>
                <w:szCs w:val="22"/>
              </w:rPr>
            </w:pPr>
            <w:r w:rsidRPr="00FD7602">
              <w:rPr>
                <w:rFonts w:ascii="Garamond" w:hAnsi="Garamond"/>
                <w:bCs/>
                <w:sz w:val="22"/>
                <w:szCs w:val="22"/>
              </w:rPr>
              <w:t>93000000</w:t>
            </w:r>
          </w:p>
        </w:tc>
        <w:tc>
          <w:tcPr>
            <w:tcW w:w="1019" w:type="pct"/>
            <w:tcMar>
              <w:top w:w="0" w:type="dxa"/>
              <w:left w:w="70" w:type="dxa"/>
              <w:bottom w:w="0" w:type="dxa"/>
              <w:right w:w="70" w:type="dxa"/>
            </w:tcMar>
            <w:vAlign w:val="center"/>
          </w:tcPr>
          <w:p w14:paraId="64622D5C" w14:textId="0981F2D5" w:rsidR="000A1248" w:rsidRPr="00FD7602" w:rsidRDefault="000A1248" w:rsidP="000A1248">
            <w:pPr>
              <w:jc w:val="center"/>
              <w:rPr>
                <w:rFonts w:ascii="Garamond" w:hAnsi="Garamond"/>
                <w:bCs/>
                <w:sz w:val="22"/>
                <w:szCs w:val="22"/>
              </w:rPr>
            </w:pPr>
            <w:r w:rsidRPr="00FD7602">
              <w:rPr>
                <w:rFonts w:ascii="Garamond" w:hAnsi="Garamond"/>
                <w:bCs/>
                <w:sz w:val="22"/>
                <w:szCs w:val="22"/>
              </w:rPr>
              <w:t>93140000</w:t>
            </w:r>
          </w:p>
        </w:tc>
        <w:tc>
          <w:tcPr>
            <w:tcW w:w="1176" w:type="pct"/>
            <w:tcMar>
              <w:top w:w="0" w:type="dxa"/>
              <w:left w:w="70" w:type="dxa"/>
              <w:bottom w:w="0" w:type="dxa"/>
              <w:right w:w="70" w:type="dxa"/>
            </w:tcMar>
            <w:vAlign w:val="center"/>
          </w:tcPr>
          <w:p w14:paraId="2573040E" w14:textId="0D03FCB1" w:rsidR="000A1248" w:rsidRPr="00FD7602" w:rsidRDefault="000A1248" w:rsidP="000A1248">
            <w:pPr>
              <w:jc w:val="center"/>
              <w:rPr>
                <w:rFonts w:ascii="Garamond" w:hAnsi="Garamond"/>
                <w:bCs/>
                <w:sz w:val="22"/>
                <w:szCs w:val="22"/>
              </w:rPr>
            </w:pPr>
            <w:r w:rsidRPr="00FD7602">
              <w:rPr>
                <w:rFonts w:ascii="Garamond" w:hAnsi="Garamond"/>
                <w:bCs/>
                <w:sz w:val="22"/>
                <w:szCs w:val="22"/>
              </w:rPr>
              <w:t>93141500</w:t>
            </w:r>
            <w:commentRangeStart w:id="2"/>
            <w:commentRangeEnd w:id="2"/>
            <w:r>
              <w:rPr>
                <w:rStyle w:val="Refdecomentario"/>
                <w:rFonts w:ascii="Calibri" w:hAnsi="Calibri" w:cs="Calibri"/>
                <w:lang w:eastAsia="en-US"/>
              </w:rPr>
              <w:commentReference w:id="2"/>
            </w:r>
          </w:p>
        </w:tc>
      </w:tr>
      <w:tr w:rsidR="000A1248" w:rsidRPr="00FD7602" w14:paraId="036F7830" w14:textId="77777777" w:rsidTr="00181D17">
        <w:trPr>
          <w:trHeight w:val="278"/>
          <w:jc w:val="center"/>
        </w:trPr>
        <w:tc>
          <w:tcPr>
            <w:tcW w:w="1441" w:type="pct"/>
            <w:tcMar>
              <w:top w:w="0" w:type="dxa"/>
              <w:left w:w="70" w:type="dxa"/>
              <w:bottom w:w="0" w:type="dxa"/>
              <w:right w:w="70" w:type="dxa"/>
            </w:tcMar>
            <w:vAlign w:val="center"/>
          </w:tcPr>
          <w:p w14:paraId="7B53E408"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 xml:space="preserve">Servicios de promoción cultural </w:t>
            </w:r>
          </w:p>
        </w:tc>
        <w:tc>
          <w:tcPr>
            <w:tcW w:w="1364" w:type="pct"/>
            <w:tcMar>
              <w:top w:w="0" w:type="dxa"/>
              <w:left w:w="70" w:type="dxa"/>
              <w:bottom w:w="0" w:type="dxa"/>
              <w:right w:w="70" w:type="dxa"/>
            </w:tcMar>
            <w:vAlign w:val="center"/>
          </w:tcPr>
          <w:p w14:paraId="5C600323"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93000000</w:t>
            </w:r>
          </w:p>
        </w:tc>
        <w:tc>
          <w:tcPr>
            <w:tcW w:w="1019" w:type="pct"/>
            <w:tcMar>
              <w:top w:w="0" w:type="dxa"/>
              <w:left w:w="70" w:type="dxa"/>
              <w:bottom w:w="0" w:type="dxa"/>
              <w:right w:w="70" w:type="dxa"/>
            </w:tcMar>
            <w:vAlign w:val="center"/>
          </w:tcPr>
          <w:p w14:paraId="6A6535D8"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93140000</w:t>
            </w:r>
          </w:p>
        </w:tc>
        <w:tc>
          <w:tcPr>
            <w:tcW w:w="1176" w:type="pct"/>
            <w:tcMar>
              <w:top w:w="0" w:type="dxa"/>
              <w:left w:w="70" w:type="dxa"/>
              <w:bottom w:w="0" w:type="dxa"/>
              <w:right w:w="70" w:type="dxa"/>
            </w:tcMar>
            <w:vAlign w:val="center"/>
          </w:tcPr>
          <w:p w14:paraId="47CFA165" w14:textId="77777777" w:rsidR="000A1248" w:rsidRPr="00FD7602" w:rsidRDefault="000A1248" w:rsidP="000A1248">
            <w:pPr>
              <w:jc w:val="center"/>
              <w:rPr>
                <w:rFonts w:ascii="Garamond" w:hAnsi="Garamond"/>
                <w:bCs/>
                <w:sz w:val="22"/>
                <w:szCs w:val="22"/>
              </w:rPr>
            </w:pPr>
            <w:r w:rsidRPr="00FD7602">
              <w:rPr>
                <w:rFonts w:ascii="Garamond" w:hAnsi="Garamond"/>
                <w:bCs/>
                <w:sz w:val="22"/>
                <w:szCs w:val="22"/>
              </w:rPr>
              <w:t>93141700</w:t>
            </w:r>
          </w:p>
        </w:tc>
      </w:tr>
    </w:tbl>
    <w:p w14:paraId="70A6E3BE" w14:textId="77777777" w:rsidR="00B90D63" w:rsidRPr="00FD7602" w:rsidRDefault="00B90D63" w:rsidP="00C46EDC">
      <w:pPr>
        <w:ind w:right="49"/>
        <w:jc w:val="both"/>
        <w:rPr>
          <w:rFonts w:ascii="Garamond" w:eastAsia="Calibri" w:hAnsi="Garamond"/>
          <w:sz w:val="22"/>
          <w:szCs w:val="22"/>
        </w:rPr>
      </w:pPr>
    </w:p>
    <w:p w14:paraId="4D7BF505" w14:textId="77777777" w:rsidR="00FD7876" w:rsidRPr="00FD7602" w:rsidRDefault="00A57B30" w:rsidP="0072119C">
      <w:pPr>
        <w:pStyle w:val="Estilo1TituloEstudiodelsector"/>
        <w:rPr>
          <w:rFonts w:cs="Times New Roman"/>
          <w:sz w:val="22"/>
          <w:szCs w:val="22"/>
        </w:rPr>
      </w:pPr>
      <w:r w:rsidRPr="00FD7602">
        <w:rPr>
          <w:rFonts w:cs="Times New Roman"/>
          <w:sz w:val="22"/>
          <w:szCs w:val="22"/>
        </w:rPr>
        <w:t>COMPORTAMIENTO DEL GASTO HISTORICO</w:t>
      </w:r>
    </w:p>
    <w:p w14:paraId="2773AA8B" w14:textId="77777777" w:rsidR="00756533" w:rsidRPr="00FD7602" w:rsidRDefault="00756533" w:rsidP="00756533">
      <w:pPr>
        <w:pStyle w:val="Estilo1TituloEstudiodelsector"/>
        <w:numPr>
          <w:ilvl w:val="0"/>
          <w:numId w:val="0"/>
        </w:numPr>
        <w:ind w:left="720"/>
        <w:rPr>
          <w:rFonts w:cs="Times New Roman"/>
          <w:sz w:val="22"/>
          <w:szCs w:val="22"/>
        </w:rPr>
      </w:pPr>
    </w:p>
    <w:p w14:paraId="1B62554A" w14:textId="77777777" w:rsidR="00B36B89" w:rsidRPr="00FD7602" w:rsidRDefault="00771D02" w:rsidP="00A57B30">
      <w:pPr>
        <w:pStyle w:val="Prrafodelista"/>
        <w:numPr>
          <w:ilvl w:val="1"/>
          <w:numId w:val="39"/>
        </w:numPr>
        <w:rPr>
          <w:rFonts w:ascii="Garamond" w:hAnsi="Garamond"/>
          <w:b/>
          <w:bCs/>
          <w:sz w:val="22"/>
          <w:szCs w:val="22"/>
        </w:rPr>
      </w:pPr>
      <w:r w:rsidRPr="00FD7602">
        <w:rPr>
          <w:rFonts w:ascii="Garamond" w:hAnsi="Garamond"/>
          <w:b/>
          <w:bCs/>
          <w:sz w:val="22"/>
          <w:szCs w:val="22"/>
        </w:rPr>
        <w:t>CONTEXTO ECONÓMICO</w:t>
      </w:r>
    </w:p>
    <w:p w14:paraId="266EB39A" w14:textId="77777777" w:rsidR="00A8128D" w:rsidRPr="00FD7602" w:rsidRDefault="00A8128D" w:rsidP="00A8128D">
      <w:pPr>
        <w:pStyle w:val="Prrafodelista"/>
        <w:rPr>
          <w:rFonts w:ascii="Garamond" w:hAnsi="Garamond"/>
          <w:b/>
          <w:bCs/>
          <w:sz w:val="22"/>
          <w:szCs w:val="22"/>
        </w:rPr>
      </w:pPr>
    </w:p>
    <w:p w14:paraId="7FECEBDD"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De acuerdo con el panorama económico de la OCDE para Colombia, la economía nacional mantiene un escenario de crecimiento moderado para 2026. La organización proyecta que el crecimiento se ubique alrededor de 2,4% en 2026 y 2,1% en 2027, en un contexto marcado por inflación aún elevada, condiciones monetarias restrictivas e incertidumbre que puede limitar la inversión privada. Este entorno obliga a que la planeación contractual considere posibles presiones sobre costos logísticos, servicios, insumos y talento humano.</w:t>
      </w:r>
    </w:p>
    <w:p w14:paraId="3F218415" w14:textId="77777777" w:rsidR="0094395E" w:rsidRPr="00FD7602" w:rsidRDefault="0094395E" w:rsidP="0094395E">
      <w:pPr>
        <w:pStyle w:val="Standard"/>
        <w:ind w:right="49"/>
        <w:jc w:val="both"/>
        <w:rPr>
          <w:rFonts w:ascii="Garamond" w:hAnsi="Garamond"/>
          <w:sz w:val="22"/>
          <w:szCs w:val="22"/>
        </w:rPr>
      </w:pPr>
    </w:p>
    <w:p w14:paraId="03D4EAC8" w14:textId="77777777" w:rsidR="0094395E" w:rsidRPr="00FD7602" w:rsidRDefault="0094395E" w:rsidP="0094395E">
      <w:pPr>
        <w:pStyle w:val="Standard"/>
        <w:numPr>
          <w:ilvl w:val="0"/>
          <w:numId w:val="38"/>
        </w:numPr>
        <w:ind w:right="49"/>
        <w:jc w:val="both"/>
        <w:rPr>
          <w:rFonts w:ascii="Garamond" w:hAnsi="Garamond"/>
          <w:sz w:val="22"/>
          <w:szCs w:val="22"/>
        </w:rPr>
      </w:pPr>
      <w:r w:rsidRPr="00FD7602">
        <w:rPr>
          <w:rFonts w:ascii="Garamond" w:hAnsi="Garamond"/>
          <w:sz w:val="22"/>
          <w:szCs w:val="22"/>
        </w:rPr>
        <w:t>Persistencia de presiones inflacionarias en rubros como alojamiento, servicios públicos, transporte y servicios asociados a eventos.</w:t>
      </w:r>
    </w:p>
    <w:p w14:paraId="1A3FA345" w14:textId="77777777" w:rsidR="0094395E" w:rsidRPr="00FD7602" w:rsidRDefault="0094395E" w:rsidP="0094395E">
      <w:pPr>
        <w:pStyle w:val="Standard"/>
        <w:numPr>
          <w:ilvl w:val="0"/>
          <w:numId w:val="38"/>
        </w:numPr>
        <w:ind w:right="49"/>
        <w:jc w:val="both"/>
        <w:rPr>
          <w:rFonts w:ascii="Garamond" w:hAnsi="Garamond"/>
          <w:sz w:val="22"/>
          <w:szCs w:val="22"/>
        </w:rPr>
      </w:pPr>
      <w:r w:rsidRPr="00FD7602">
        <w:rPr>
          <w:rFonts w:ascii="Garamond" w:hAnsi="Garamond"/>
          <w:sz w:val="22"/>
          <w:szCs w:val="22"/>
        </w:rPr>
        <w:lastRenderedPageBreak/>
        <w:t>Condiciones financieras restrictivas que pueden incidir en la liquidez y capacidad operativa de proveedores y operadores.</w:t>
      </w:r>
    </w:p>
    <w:p w14:paraId="166752C7" w14:textId="77777777" w:rsidR="0094395E" w:rsidRPr="00FD7602" w:rsidRDefault="0094395E" w:rsidP="0094395E">
      <w:pPr>
        <w:pStyle w:val="Standard"/>
        <w:numPr>
          <w:ilvl w:val="0"/>
          <w:numId w:val="38"/>
        </w:numPr>
        <w:ind w:right="49"/>
        <w:jc w:val="both"/>
        <w:rPr>
          <w:rFonts w:ascii="Garamond" w:hAnsi="Garamond"/>
          <w:sz w:val="22"/>
          <w:szCs w:val="22"/>
        </w:rPr>
      </w:pPr>
      <w:r w:rsidRPr="00FD7602">
        <w:rPr>
          <w:rFonts w:ascii="Garamond" w:hAnsi="Garamond"/>
          <w:sz w:val="22"/>
          <w:szCs w:val="22"/>
        </w:rPr>
        <w:t>Riesgos externos asociados a energía, tipo de cambio, comercio internacional y costos de transporte, con incidencia indirecta en logística, alimentación, materiales y suministros.</w:t>
      </w:r>
    </w:p>
    <w:p w14:paraId="14DF656D" w14:textId="77777777" w:rsidR="0094395E" w:rsidRPr="00FD7602" w:rsidRDefault="0094395E" w:rsidP="0094395E">
      <w:pPr>
        <w:pStyle w:val="Standard"/>
        <w:ind w:right="49"/>
        <w:jc w:val="both"/>
        <w:rPr>
          <w:rFonts w:ascii="Garamond" w:hAnsi="Garamond"/>
          <w:sz w:val="22"/>
          <w:szCs w:val="22"/>
        </w:rPr>
      </w:pPr>
    </w:p>
    <w:p w14:paraId="5942C4DD"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Si bien el crecimiento esperado se mantiene positivo, la planeación del proceso debe contemplar márgenes razonables frente a variaciones de precios, tiempos de entrega, disponibilidad de insumos y costos laborales, sin apartarse de los principios de economía, responsabilidad y selección objetiva.</w:t>
      </w:r>
    </w:p>
    <w:p w14:paraId="718729F3" w14:textId="77777777" w:rsidR="0094395E" w:rsidRPr="00FD7602" w:rsidRDefault="0094395E" w:rsidP="0094395E">
      <w:pPr>
        <w:pStyle w:val="Standard"/>
        <w:ind w:right="49"/>
        <w:jc w:val="both"/>
        <w:rPr>
          <w:rFonts w:ascii="Garamond" w:hAnsi="Garamond"/>
          <w:sz w:val="22"/>
          <w:szCs w:val="22"/>
        </w:rPr>
      </w:pPr>
    </w:p>
    <w:p w14:paraId="69613D0C"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En materia de inflación, el DANE informó que en mayo de 2026 el IPC registró una variación mensual de 0,47%, una variación año corrido de 4,36% y una variación anual de 5,84%. La variación anual fue superior a la observada en mayo de 2025, lo cual evidencia presiones de precios que deben ser consideradas en la estructuración de costos del proceso.</w:t>
      </w:r>
    </w:p>
    <w:p w14:paraId="526FD33E" w14:textId="77777777" w:rsidR="0094395E" w:rsidRPr="00FD7602" w:rsidRDefault="0094395E" w:rsidP="0094395E">
      <w:pPr>
        <w:pStyle w:val="Standard"/>
        <w:ind w:right="49"/>
        <w:jc w:val="both"/>
        <w:rPr>
          <w:rFonts w:ascii="Garamond" w:hAnsi="Garamond"/>
          <w:sz w:val="22"/>
          <w:szCs w:val="22"/>
        </w:rPr>
      </w:pPr>
    </w:p>
    <w:p w14:paraId="2707E238"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La política fiscal continúa siendo un elemento relevante para la contratación pública, dado que la sostenibilidad del gasto y el cumplimiento de la regla fiscal exigen que los proyectos locales se estructuren con criterios de eficiencia, trazabilidad y pertinencia técnica.</w:t>
      </w:r>
    </w:p>
    <w:p w14:paraId="747E3902"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Por lo anterior, el análisis del sector debe valorar no solo el precio de los bienes y servicios, sino también la capacidad real de ejecución, experiencia, pertinencia cultural, disponibilidad logística, costos de talento humano y riesgos de cumplimiento.</w:t>
      </w:r>
    </w:p>
    <w:p w14:paraId="295E0A8C" w14:textId="77777777" w:rsidR="0094395E" w:rsidRPr="00FD7602" w:rsidRDefault="0094395E" w:rsidP="0094395E">
      <w:pPr>
        <w:pStyle w:val="Standard"/>
        <w:ind w:right="49"/>
        <w:jc w:val="both"/>
        <w:rPr>
          <w:rFonts w:ascii="Garamond" w:hAnsi="Garamond"/>
          <w:sz w:val="22"/>
          <w:szCs w:val="22"/>
        </w:rPr>
      </w:pPr>
    </w:p>
    <w:p w14:paraId="17C76A6A"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En el mercado laboral, la información más reciente del DANE para abril de 2026 reportó una tasa de desocupación nacional de 8,8%, con una tasa global de participación de 64,7%. Estos datos muestran estabilidad relativa en el mercado de trabajo, aunque la contratación de talento humano especializado con enfoque étnico diferencial exige perfiles específicos, experiencia comunitaria y aval cultural.</w:t>
      </w:r>
    </w:p>
    <w:p w14:paraId="584A17E8" w14:textId="77777777" w:rsidR="0094395E" w:rsidRPr="00FD7602" w:rsidRDefault="0094395E" w:rsidP="0094395E">
      <w:pPr>
        <w:pStyle w:val="Standard"/>
        <w:ind w:right="49"/>
        <w:jc w:val="both"/>
        <w:rPr>
          <w:rFonts w:ascii="Garamond" w:hAnsi="Garamond"/>
          <w:sz w:val="22"/>
          <w:szCs w:val="22"/>
        </w:rPr>
      </w:pPr>
    </w:p>
    <w:p w14:paraId="2D841059"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Colombia continúa enfrentando riesgos macroeconómicos asociados al déficit fiscal, la inflación, las tasas de interés, la volatilidad externa y el comportamiento del tipo de cambio. Estos factores pueden incidir en la ejecución contractual, especialmente en servicios logísticos, transporte, alimentación, materiales, impresos y actividades culturales.</w:t>
      </w:r>
    </w:p>
    <w:p w14:paraId="3E7403D8" w14:textId="77777777" w:rsidR="0094395E" w:rsidRPr="00FD7602" w:rsidRDefault="0094395E" w:rsidP="0094395E">
      <w:pPr>
        <w:pStyle w:val="Standard"/>
        <w:ind w:right="49"/>
        <w:jc w:val="both"/>
        <w:rPr>
          <w:rFonts w:ascii="Garamond" w:hAnsi="Garamond"/>
          <w:sz w:val="22"/>
          <w:szCs w:val="22"/>
        </w:rPr>
      </w:pPr>
    </w:p>
    <w:p w14:paraId="03C44353" w14:textId="77777777" w:rsidR="0094395E" w:rsidRPr="00FD7602" w:rsidRDefault="0094395E" w:rsidP="0094395E">
      <w:pPr>
        <w:pStyle w:val="Standard"/>
        <w:ind w:right="49"/>
        <w:jc w:val="both"/>
        <w:rPr>
          <w:rFonts w:ascii="Garamond" w:hAnsi="Garamond"/>
          <w:sz w:val="22"/>
          <w:szCs w:val="22"/>
        </w:rPr>
      </w:pPr>
      <w:r w:rsidRPr="00FD7602">
        <w:rPr>
          <w:rFonts w:ascii="Garamond" w:hAnsi="Garamond"/>
          <w:sz w:val="22"/>
          <w:szCs w:val="22"/>
        </w:rPr>
        <w:t>El entorno internacional se mantiene desafiante por tensiones geopolíticas, cambios en precios de energía y condiciones financieras globales. Para el presente proceso, dichos factores tienen efectos indirectos sobre costos de movilidad, combustibles, alquileres, suministros y operación de eventos.</w:t>
      </w:r>
    </w:p>
    <w:p w14:paraId="1B577011" w14:textId="77777777" w:rsidR="0094395E" w:rsidRPr="00FD7602" w:rsidRDefault="0094395E" w:rsidP="0094395E">
      <w:pPr>
        <w:pStyle w:val="Standard"/>
        <w:ind w:right="49"/>
        <w:jc w:val="both"/>
        <w:rPr>
          <w:rFonts w:ascii="Garamond" w:hAnsi="Garamond"/>
          <w:sz w:val="22"/>
          <w:szCs w:val="22"/>
        </w:rPr>
      </w:pPr>
    </w:p>
    <w:p w14:paraId="0472F666" w14:textId="77777777" w:rsidR="00E71A3C" w:rsidRPr="00FD7602" w:rsidRDefault="0094395E" w:rsidP="00C46EDC">
      <w:pPr>
        <w:pStyle w:val="Standard"/>
        <w:ind w:right="49"/>
        <w:jc w:val="both"/>
        <w:rPr>
          <w:rFonts w:ascii="Garamond" w:hAnsi="Garamond"/>
          <w:sz w:val="22"/>
          <w:szCs w:val="22"/>
        </w:rPr>
      </w:pPr>
      <w:r w:rsidRPr="00FD7602">
        <w:rPr>
          <w:rFonts w:ascii="Garamond" w:hAnsi="Garamond"/>
          <w:sz w:val="22"/>
          <w:szCs w:val="22"/>
        </w:rPr>
        <w:t>En consecuencia, el análisis sectorial para la vigencia 2026 debe tomar como referencia información oficial disponible a la fecha de elaboración del documento, sin perder de vista que los precios pueden variar durante la ejecución. La estructura de costos deberá soportarse en el análisis de mercado, las cotizaciones, la capacidad del operador y la pertinencia cultural del servicio.</w:t>
      </w:r>
    </w:p>
    <w:p w14:paraId="49635FB3" w14:textId="77777777" w:rsidR="00E71A3C" w:rsidRPr="00FD7602" w:rsidRDefault="00E71A3C" w:rsidP="00C46EDC">
      <w:pPr>
        <w:spacing w:after="160" w:line="259" w:lineRule="auto"/>
        <w:ind w:right="49"/>
        <w:rPr>
          <w:rFonts w:ascii="Garamond" w:hAnsi="Garamond"/>
          <w:kern w:val="3"/>
          <w:sz w:val="22"/>
          <w:szCs w:val="22"/>
          <w:lang w:eastAsia="zh-CN"/>
        </w:rPr>
      </w:pPr>
    </w:p>
    <w:p w14:paraId="045B3C29" w14:textId="77777777" w:rsidR="00B36B89" w:rsidRPr="00FD7602" w:rsidRDefault="00B36B89" w:rsidP="00A57B30">
      <w:pPr>
        <w:pStyle w:val="Prrafodelista"/>
        <w:numPr>
          <w:ilvl w:val="1"/>
          <w:numId w:val="39"/>
        </w:numPr>
        <w:rPr>
          <w:rFonts w:ascii="Garamond" w:hAnsi="Garamond"/>
          <w:b/>
          <w:bCs/>
          <w:sz w:val="22"/>
          <w:szCs w:val="22"/>
        </w:rPr>
      </w:pPr>
      <w:r w:rsidRPr="00FD7602">
        <w:rPr>
          <w:rFonts w:ascii="Garamond" w:hAnsi="Garamond"/>
          <w:b/>
          <w:bCs/>
          <w:sz w:val="22"/>
          <w:szCs w:val="22"/>
        </w:rPr>
        <w:t>ÍNDICE DE PRECIOS AL CONSUMIDOR (IPC)</w:t>
      </w:r>
    </w:p>
    <w:p w14:paraId="3B1F941D" w14:textId="77777777" w:rsidR="000A252D" w:rsidRPr="00FD7602" w:rsidRDefault="000A252D" w:rsidP="000A252D">
      <w:pPr>
        <w:tabs>
          <w:tab w:val="left" w:pos="142"/>
          <w:tab w:val="left" w:pos="567"/>
          <w:tab w:val="left" w:pos="8789"/>
        </w:tabs>
        <w:ind w:right="49"/>
        <w:contextualSpacing/>
        <w:rPr>
          <w:rFonts w:ascii="Garamond" w:eastAsia="Calibri" w:hAnsi="Garamond"/>
          <w:b/>
          <w:bCs/>
          <w:sz w:val="22"/>
          <w:szCs w:val="22"/>
        </w:rPr>
      </w:pPr>
    </w:p>
    <w:p w14:paraId="4581DE3F" w14:textId="77777777" w:rsidR="0094395E" w:rsidRPr="00FD7602" w:rsidRDefault="0094395E" w:rsidP="001371D4">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 xml:space="preserve">Según el DANE, en mayo de 2026 el IPC registró una variación mensual de 0,47%, una variación año corrido de 4,36% y una variación anual de 5,84%. El comportamiento mensual estuvo explicado principalmente por las divisiones de Alojamiento, agua, electricidad, gas y otros combustibles, y </w:t>
      </w:r>
      <w:r w:rsidRPr="00FD7602">
        <w:rPr>
          <w:rFonts w:ascii="Garamond" w:hAnsi="Garamond"/>
          <w:sz w:val="22"/>
          <w:szCs w:val="22"/>
        </w:rPr>
        <w:lastRenderedPageBreak/>
        <w:t>Transporte; las mayores variaciones se presentaron en Alojamiento, agua, electricidad, gas y otros combustibles (0,86%) y Recreación y cultura (0,77%).</w:t>
      </w:r>
    </w:p>
    <w:p w14:paraId="2237FC31"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58D2AD74"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25552A30" w14:textId="77777777" w:rsidR="00B0140B" w:rsidRPr="00FD7602" w:rsidRDefault="00A13A68" w:rsidP="00A13A68">
      <w:pPr>
        <w:tabs>
          <w:tab w:val="left" w:pos="142"/>
          <w:tab w:val="left" w:pos="567"/>
          <w:tab w:val="left" w:pos="8789"/>
        </w:tabs>
        <w:ind w:right="49"/>
        <w:contextualSpacing/>
        <w:jc w:val="center"/>
        <w:rPr>
          <w:rFonts w:ascii="Garamond" w:eastAsia="Calibri" w:hAnsi="Garamond"/>
          <w:sz w:val="22"/>
          <w:szCs w:val="22"/>
        </w:rPr>
      </w:pPr>
      <w:r w:rsidRPr="00FD7602">
        <w:rPr>
          <w:rFonts w:ascii="Garamond" w:hAnsi="Garamond"/>
          <w:noProof/>
          <w:sz w:val="22"/>
          <w:szCs w:val="22"/>
        </w:rPr>
        <w:drawing>
          <wp:inline distT="0" distB="0" distL="0" distR="0" wp14:anchorId="19DE9008" wp14:editId="0A485182">
            <wp:extent cx="5303520" cy="28285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c_mayo_2026.png"/>
                    <pic:cNvPicPr/>
                  </pic:nvPicPr>
                  <pic:blipFill>
                    <a:blip r:embed="rId12"/>
                    <a:stretch>
                      <a:fillRect/>
                    </a:stretch>
                  </pic:blipFill>
                  <pic:spPr>
                    <a:xfrm>
                      <a:off x="0" y="0"/>
                      <a:ext cx="5303520" cy="2828544"/>
                    </a:xfrm>
                    <a:prstGeom prst="rect">
                      <a:avLst/>
                    </a:prstGeom>
                  </pic:spPr>
                </pic:pic>
              </a:graphicData>
            </a:graphic>
          </wp:inline>
        </w:drawing>
      </w:r>
    </w:p>
    <w:p w14:paraId="4F402E41" w14:textId="77777777" w:rsidR="00B0140B" w:rsidRPr="00FD7602" w:rsidRDefault="00B0140B" w:rsidP="0094395E">
      <w:pPr>
        <w:tabs>
          <w:tab w:val="left" w:pos="142"/>
          <w:tab w:val="left" w:pos="567"/>
          <w:tab w:val="left" w:pos="8789"/>
        </w:tabs>
        <w:ind w:right="49"/>
        <w:contextualSpacing/>
        <w:jc w:val="both"/>
        <w:rPr>
          <w:rFonts w:ascii="Garamond" w:eastAsia="Calibri" w:hAnsi="Garamond"/>
          <w:sz w:val="22"/>
          <w:szCs w:val="22"/>
        </w:rPr>
      </w:pPr>
    </w:p>
    <w:p w14:paraId="6C3B6401" w14:textId="77777777" w:rsidR="0094395E" w:rsidRPr="00FD7602" w:rsidRDefault="0094395E" w:rsidP="00290907">
      <w:pPr>
        <w:tabs>
          <w:tab w:val="left" w:pos="142"/>
          <w:tab w:val="left" w:pos="567"/>
          <w:tab w:val="left" w:pos="8789"/>
        </w:tabs>
        <w:ind w:right="49"/>
        <w:contextualSpacing/>
        <w:jc w:val="center"/>
        <w:rPr>
          <w:rFonts w:ascii="Garamond" w:eastAsia="Calibri" w:hAnsi="Garamond"/>
          <w:sz w:val="22"/>
          <w:szCs w:val="22"/>
        </w:rPr>
      </w:pPr>
    </w:p>
    <w:p w14:paraId="3D7865E3" w14:textId="77777777" w:rsidR="0094395E" w:rsidRPr="00FD7602" w:rsidRDefault="0094395E" w:rsidP="0094395E">
      <w:pPr>
        <w:tabs>
          <w:tab w:val="left" w:pos="142"/>
          <w:tab w:val="left" w:pos="567"/>
          <w:tab w:val="left" w:pos="8789"/>
        </w:tabs>
        <w:ind w:right="49"/>
        <w:contextualSpacing/>
        <w:jc w:val="center"/>
        <w:rPr>
          <w:rFonts w:ascii="Garamond" w:hAnsi="Garamond"/>
          <w:sz w:val="22"/>
          <w:szCs w:val="22"/>
        </w:rPr>
      </w:pPr>
      <w:r w:rsidRPr="00FD7602">
        <w:rPr>
          <w:rFonts w:ascii="Garamond" w:hAnsi="Garamond"/>
          <w:sz w:val="22"/>
          <w:szCs w:val="22"/>
        </w:rPr>
        <w:t>Fuente: DANE – Índice de Precios al Consumidor (IPC), información mayo de 2026, publicado el 5 de junio de 2026. Consulta: https://www.dane.gov.co/index.php/estadisticas-por-tema/precios-y-costos/indice-de-precios-al-consumidor-ipc</w:t>
      </w:r>
    </w:p>
    <w:p w14:paraId="4EE9821E" w14:textId="77777777" w:rsidR="0094395E" w:rsidRPr="00FD7602" w:rsidRDefault="0094395E" w:rsidP="00A4478E">
      <w:pPr>
        <w:tabs>
          <w:tab w:val="left" w:pos="142"/>
          <w:tab w:val="left" w:pos="567"/>
          <w:tab w:val="left" w:pos="8789"/>
        </w:tabs>
        <w:ind w:right="49"/>
        <w:contextualSpacing/>
        <w:rPr>
          <w:rFonts w:ascii="Garamond" w:eastAsia="Calibri" w:hAnsi="Garamond"/>
          <w:sz w:val="22"/>
          <w:szCs w:val="22"/>
          <w:highlight w:val="yellow"/>
        </w:rPr>
      </w:pPr>
    </w:p>
    <w:p w14:paraId="6F318BC4" w14:textId="77777777" w:rsidR="00B36B89" w:rsidRPr="00FD7602" w:rsidRDefault="00B36B89"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VARIACIÓN Y CONTRIBUCIÓN POR DIVISIONES DE GASTO</w:t>
      </w:r>
      <w:r w:rsidR="00E56E1D" w:rsidRPr="00FD7602">
        <w:rPr>
          <w:rFonts w:ascii="Garamond" w:eastAsia="Calibri" w:hAnsi="Garamond"/>
          <w:b/>
          <w:bCs/>
          <w:sz w:val="22"/>
          <w:szCs w:val="22"/>
        </w:rPr>
        <w:t xml:space="preserve"> </w:t>
      </w:r>
    </w:p>
    <w:p w14:paraId="5ACBDA5C" w14:textId="77777777" w:rsidR="00635F27" w:rsidRPr="00FD7602" w:rsidRDefault="00635F27" w:rsidP="001B5E74">
      <w:pPr>
        <w:tabs>
          <w:tab w:val="left" w:pos="142"/>
          <w:tab w:val="left" w:pos="567"/>
          <w:tab w:val="left" w:pos="8789"/>
        </w:tabs>
        <w:ind w:right="49"/>
        <w:contextualSpacing/>
        <w:jc w:val="both"/>
        <w:rPr>
          <w:rFonts w:ascii="Garamond" w:eastAsia="Calibri" w:hAnsi="Garamond"/>
          <w:b/>
          <w:bCs/>
          <w:sz w:val="22"/>
          <w:szCs w:val="22"/>
        </w:rPr>
      </w:pPr>
    </w:p>
    <w:p w14:paraId="5984D483" w14:textId="77777777" w:rsidR="00570470" w:rsidRPr="00FD7602" w:rsidRDefault="0094395E" w:rsidP="00AE7FD8">
      <w:pPr>
        <w:tabs>
          <w:tab w:val="left" w:pos="142"/>
          <w:tab w:val="left" w:pos="567"/>
          <w:tab w:val="left" w:pos="8789"/>
        </w:tabs>
        <w:ind w:right="49"/>
        <w:contextualSpacing/>
        <w:jc w:val="both"/>
        <w:rPr>
          <w:rFonts w:ascii="Garamond" w:hAnsi="Garamond"/>
          <w:sz w:val="22"/>
          <w:szCs w:val="22"/>
        </w:rPr>
      </w:pPr>
      <w:r w:rsidRPr="00FD7602">
        <w:rPr>
          <w:rFonts w:ascii="Garamond" w:hAnsi="Garamond"/>
          <w:sz w:val="22"/>
          <w:szCs w:val="22"/>
        </w:rPr>
        <w:t>Para mayo de 2026, el IPC mensual se ubicó en 0,47%. Las divisiones con mayor variación fueron Alojamiento, agua, electricidad, gas y otros combustibles (0,86%) y Recreación y cultura (0,77%). Esta información resulta relevante para el proceso, debido a que varias actividades del objeto contractual demandan logística, espacios, transporte, alimentación, insumos culturales, piezas comunicativas y servicios de apoyo.</w:t>
      </w:r>
    </w:p>
    <w:p w14:paraId="1C41D389" w14:textId="77777777" w:rsidR="00FD7602" w:rsidRPr="00FD7602" w:rsidRDefault="00FD7602" w:rsidP="00AE7FD8">
      <w:pPr>
        <w:tabs>
          <w:tab w:val="left" w:pos="142"/>
          <w:tab w:val="left" w:pos="567"/>
          <w:tab w:val="left" w:pos="8789"/>
        </w:tabs>
        <w:ind w:right="49"/>
        <w:contextualSpacing/>
        <w:jc w:val="both"/>
        <w:rPr>
          <w:rFonts w:ascii="Garamond" w:hAnsi="Garamond"/>
          <w:kern w:val="3"/>
          <w:sz w:val="22"/>
          <w:szCs w:val="22"/>
          <w:lang w:eastAsia="zh-CN"/>
        </w:rPr>
      </w:pPr>
    </w:p>
    <w:p w14:paraId="57D97E4E" w14:textId="77777777" w:rsidR="00B36B89" w:rsidRPr="00FD7602" w:rsidRDefault="00B36B89"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RESULTADOS AÑO CORRIDO</w:t>
      </w:r>
    </w:p>
    <w:p w14:paraId="4DCF5292" w14:textId="77777777" w:rsidR="00570470" w:rsidRPr="00FD7602" w:rsidRDefault="00570470" w:rsidP="00AE7FD8">
      <w:pPr>
        <w:tabs>
          <w:tab w:val="left" w:pos="142"/>
          <w:tab w:val="left" w:pos="567"/>
          <w:tab w:val="left" w:pos="8789"/>
        </w:tabs>
        <w:ind w:right="49"/>
        <w:contextualSpacing/>
        <w:jc w:val="both"/>
        <w:rPr>
          <w:rFonts w:ascii="Garamond" w:hAnsi="Garamond"/>
          <w:sz w:val="22"/>
          <w:szCs w:val="22"/>
          <w:highlight w:val="yellow"/>
        </w:rPr>
      </w:pPr>
    </w:p>
    <w:p w14:paraId="259F9BE2" w14:textId="77777777" w:rsidR="0094395E" w:rsidRPr="00FD7602" w:rsidRDefault="00EF63C0" w:rsidP="00EF63C0">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En lo corrido del año, enero a mayo de 2026, el IPC acumuló una variación de 4,36%. Este comportamiento debe ser tenido en cuenta para la estimación de precios, especialmente en aquellos rubros sensibles a costos de transporte, alimentos, servicios logísticos, alquiler de espacios, materiales para talleres y elementos de dotación para actividades comunitarias.</w:t>
      </w:r>
    </w:p>
    <w:p w14:paraId="772BF5B4"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6C7DFAF7" w14:textId="77777777" w:rsidR="003C719B" w:rsidRPr="00FD7602" w:rsidRDefault="003C719B" w:rsidP="003C719B">
      <w:pPr>
        <w:tabs>
          <w:tab w:val="left" w:pos="142"/>
          <w:tab w:val="left" w:pos="567"/>
          <w:tab w:val="left" w:pos="8789"/>
        </w:tabs>
        <w:ind w:right="49"/>
        <w:contextualSpacing/>
        <w:jc w:val="center"/>
        <w:rPr>
          <w:rFonts w:ascii="Garamond" w:eastAsia="Calibri" w:hAnsi="Garamond"/>
          <w:sz w:val="22"/>
          <w:szCs w:val="22"/>
        </w:rPr>
      </w:pPr>
    </w:p>
    <w:p w14:paraId="3811CA3F" w14:textId="77777777" w:rsidR="00437D52" w:rsidRPr="00FD7602" w:rsidRDefault="00437D52" w:rsidP="00437D52">
      <w:pPr>
        <w:tabs>
          <w:tab w:val="left" w:pos="142"/>
          <w:tab w:val="left" w:pos="567"/>
          <w:tab w:val="left" w:pos="8789"/>
        </w:tabs>
        <w:ind w:right="49"/>
        <w:contextualSpacing/>
        <w:rPr>
          <w:rFonts w:ascii="Garamond" w:eastAsia="Calibri" w:hAnsi="Garamond"/>
          <w:sz w:val="22"/>
          <w:szCs w:val="22"/>
        </w:rPr>
      </w:pPr>
    </w:p>
    <w:p w14:paraId="1D8897C0" w14:textId="77777777" w:rsidR="00437D52" w:rsidRPr="00FD7602" w:rsidRDefault="00437D52" w:rsidP="0083683C">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 xml:space="preserve">Las subclases con incidencia en la variación del IPC pueden afectar de manera indirecta el presupuesto del proceso, particularmente cuando se relacionan con transporte, alimentos, servicios públicos, </w:t>
      </w:r>
      <w:r w:rsidRPr="00FD7602">
        <w:rPr>
          <w:rFonts w:ascii="Garamond" w:hAnsi="Garamond"/>
          <w:sz w:val="22"/>
          <w:szCs w:val="22"/>
        </w:rPr>
        <w:lastRenderedPageBreak/>
        <w:t>combustibles, logística y bienes requeridos para la implementación de talleres, encuentros y conmemoraciones culturales.</w:t>
      </w:r>
    </w:p>
    <w:p w14:paraId="1C325175"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516BAB87" w14:textId="77777777" w:rsidR="0094395E" w:rsidRPr="00FD7602" w:rsidRDefault="001B5E74" w:rsidP="00E05E7C">
      <w:pPr>
        <w:tabs>
          <w:tab w:val="left" w:pos="142"/>
          <w:tab w:val="left" w:pos="567"/>
          <w:tab w:val="left" w:pos="8789"/>
        </w:tabs>
        <w:ind w:right="49"/>
        <w:contextualSpacing/>
        <w:jc w:val="center"/>
        <w:rPr>
          <w:rFonts w:ascii="Garamond" w:hAnsi="Garamond"/>
          <w:sz w:val="22"/>
          <w:szCs w:val="22"/>
        </w:rPr>
      </w:pPr>
      <w:r w:rsidRPr="00FD7602">
        <w:rPr>
          <w:rFonts w:ascii="Garamond" w:hAnsi="Garamond"/>
          <w:sz w:val="22"/>
          <w:szCs w:val="22"/>
        </w:rPr>
        <w:t>Fuente: DANE – Boletín técnico Índice de Precios al Consumidor (IPC), mayo de 2026.</w:t>
      </w:r>
    </w:p>
    <w:p w14:paraId="2AA03276" w14:textId="77777777" w:rsidR="00606582" w:rsidRPr="00FD7602" w:rsidRDefault="00606582" w:rsidP="00606582">
      <w:pPr>
        <w:tabs>
          <w:tab w:val="left" w:pos="142"/>
          <w:tab w:val="left" w:pos="567"/>
          <w:tab w:val="left" w:pos="8789"/>
        </w:tabs>
        <w:ind w:right="49"/>
        <w:contextualSpacing/>
        <w:jc w:val="center"/>
        <w:rPr>
          <w:rFonts w:ascii="Garamond" w:eastAsia="Calibri" w:hAnsi="Garamond"/>
          <w:sz w:val="22"/>
          <w:szCs w:val="22"/>
        </w:rPr>
      </w:pPr>
    </w:p>
    <w:p w14:paraId="5EBC993B" w14:textId="77777777" w:rsidR="0094395E" w:rsidRPr="00FD7602" w:rsidRDefault="0094395E" w:rsidP="00E73A6F">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En términos anuales, el IPC de mayo de 2026 fue de 5,84%, superior en 0,79 puntos porcentuales al dato anual de mayo de 2025, cuando se ubicó en 5,05%. Este incremento anual confirma que persisten presiones de precios que deben ser evaluadas en la etapa de planeación y en el análisis de costos del proceso.</w:t>
      </w:r>
    </w:p>
    <w:p w14:paraId="044F4767"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7072DB29" w14:textId="77777777" w:rsidR="0094395E" w:rsidRPr="00FD7602" w:rsidRDefault="0094395E" w:rsidP="00F36DD7">
      <w:pPr>
        <w:tabs>
          <w:tab w:val="left" w:pos="142"/>
          <w:tab w:val="left" w:pos="567"/>
          <w:tab w:val="left" w:pos="8789"/>
        </w:tabs>
        <w:ind w:right="49"/>
        <w:contextualSpacing/>
        <w:jc w:val="center"/>
        <w:rPr>
          <w:rFonts w:ascii="Garamond" w:eastAsia="Calibri" w:hAnsi="Garamond"/>
          <w:sz w:val="22"/>
          <w:szCs w:val="22"/>
        </w:rPr>
      </w:pPr>
    </w:p>
    <w:p w14:paraId="014E9C33" w14:textId="77777777" w:rsidR="006C62D8" w:rsidRPr="00FD7602" w:rsidRDefault="0094395E" w:rsidP="0094395E">
      <w:pPr>
        <w:tabs>
          <w:tab w:val="left" w:pos="142"/>
          <w:tab w:val="left" w:pos="567"/>
          <w:tab w:val="left" w:pos="8789"/>
        </w:tabs>
        <w:ind w:right="49"/>
        <w:contextualSpacing/>
        <w:jc w:val="center"/>
        <w:rPr>
          <w:rFonts w:ascii="Garamond" w:hAnsi="Garamond"/>
          <w:sz w:val="22"/>
          <w:szCs w:val="22"/>
        </w:rPr>
      </w:pPr>
      <w:r w:rsidRPr="00FD7602">
        <w:rPr>
          <w:rFonts w:ascii="Garamond" w:hAnsi="Garamond"/>
          <w:sz w:val="22"/>
          <w:szCs w:val="22"/>
        </w:rPr>
        <w:t>Fuente: DANE – Índice de Precios al Consumidor (IPC), información mayo de 2026.</w:t>
      </w:r>
    </w:p>
    <w:p w14:paraId="3FCAFE02" w14:textId="77777777" w:rsidR="00E90C6D" w:rsidRPr="00FD7602" w:rsidRDefault="00E90C6D" w:rsidP="00066AE5">
      <w:pPr>
        <w:tabs>
          <w:tab w:val="left" w:pos="142"/>
          <w:tab w:val="left" w:pos="567"/>
          <w:tab w:val="left" w:pos="8789"/>
        </w:tabs>
        <w:ind w:right="49"/>
        <w:contextualSpacing/>
        <w:jc w:val="both"/>
        <w:rPr>
          <w:rFonts w:ascii="Garamond" w:hAnsi="Garamond"/>
          <w:sz w:val="22"/>
          <w:szCs w:val="22"/>
        </w:rPr>
      </w:pPr>
    </w:p>
    <w:p w14:paraId="697F7661" w14:textId="77777777" w:rsidR="00E90C6D" w:rsidRPr="00FD7602" w:rsidRDefault="00E90C6D" w:rsidP="00066AE5">
      <w:pPr>
        <w:tabs>
          <w:tab w:val="left" w:pos="142"/>
          <w:tab w:val="left" w:pos="567"/>
          <w:tab w:val="left" w:pos="8789"/>
        </w:tabs>
        <w:ind w:right="49"/>
        <w:contextualSpacing/>
        <w:jc w:val="both"/>
        <w:rPr>
          <w:rFonts w:ascii="Garamond" w:hAnsi="Garamond"/>
          <w:sz w:val="22"/>
          <w:szCs w:val="22"/>
        </w:rPr>
      </w:pPr>
      <w:r w:rsidRPr="00FD7602">
        <w:rPr>
          <w:rFonts w:ascii="Garamond" w:hAnsi="Garamond"/>
          <w:sz w:val="22"/>
          <w:szCs w:val="22"/>
        </w:rPr>
        <w:t>Para la estructuración presupuestal se recomienda tomar como referencia la información oficial del DANE disponible para mayo de 2026, junto con las cotizaciones del mercado y el análisis técnico de los bienes y servicios requeridos, de manera que los valores estimados reflejen condiciones reales de ejecución.</w:t>
      </w:r>
    </w:p>
    <w:p w14:paraId="59ED62DE" w14:textId="77777777" w:rsidR="00D95A3D" w:rsidRPr="00FD7602" w:rsidRDefault="00D95A3D" w:rsidP="00066AE5">
      <w:pPr>
        <w:tabs>
          <w:tab w:val="left" w:pos="142"/>
          <w:tab w:val="left" w:pos="567"/>
          <w:tab w:val="left" w:pos="8789"/>
        </w:tabs>
        <w:ind w:right="49"/>
        <w:contextualSpacing/>
        <w:jc w:val="both"/>
        <w:rPr>
          <w:rFonts w:ascii="Garamond" w:hAnsi="Garamond"/>
          <w:sz w:val="22"/>
          <w:szCs w:val="22"/>
        </w:rPr>
      </w:pPr>
    </w:p>
    <w:p w14:paraId="02F6D39E" w14:textId="77777777" w:rsidR="00D95A3D" w:rsidRPr="00FD7602" w:rsidRDefault="00D95A3D" w:rsidP="00FB5CFB">
      <w:pPr>
        <w:tabs>
          <w:tab w:val="left" w:pos="142"/>
          <w:tab w:val="left" w:pos="567"/>
          <w:tab w:val="left" w:pos="8789"/>
        </w:tabs>
        <w:ind w:right="49"/>
        <w:contextualSpacing/>
        <w:jc w:val="center"/>
        <w:rPr>
          <w:rFonts w:ascii="Garamond" w:hAnsi="Garamond"/>
          <w:sz w:val="22"/>
          <w:szCs w:val="22"/>
        </w:rPr>
      </w:pPr>
    </w:p>
    <w:p w14:paraId="5220F644" w14:textId="77777777" w:rsidR="00E90C6D" w:rsidRPr="00FD7602" w:rsidRDefault="00F36DD7" w:rsidP="0094395E">
      <w:pPr>
        <w:tabs>
          <w:tab w:val="left" w:pos="142"/>
          <w:tab w:val="left" w:pos="567"/>
          <w:tab w:val="left" w:pos="8789"/>
        </w:tabs>
        <w:ind w:right="49"/>
        <w:contextualSpacing/>
        <w:jc w:val="center"/>
        <w:rPr>
          <w:rFonts w:ascii="Garamond" w:hAnsi="Garamond"/>
          <w:sz w:val="22"/>
          <w:szCs w:val="22"/>
        </w:rPr>
      </w:pPr>
      <w:r w:rsidRPr="00FD7602">
        <w:rPr>
          <w:rFonts w:ascii="Garamond" w:hAnsi="Garamond"/>
          <w:sz w:val="22"/>
          <w:szCs w:val="22"/>
        </w:rPr>
        <w:t>Fuente: DANE – Boletín técnico Índice de Precios al Consumidor (IPC), mayo de 2026.</w:t>
      </w:r>
    </w:p>
    <w:p w14:paraId="55946C71" w14:textId="77777777" w:rsidR="00E90C6D" w:rsidRPr="00FD7602" w:rsidRDefault="00E90C6D" w:rsidP="0094395E">
      <w:pPr>
        <w:tabs>
          <w:tab w:val="left" w:pos="142"/>
          <w:tab w:val="left" w:pos="567"/>
          <w:tab w:val="left" w:pos="8789"/>
        </w:tabs>
        <w:ind w:right="49"/>
        <w:contextualSpacing/>
        <w:jc w:val="center"/>
        <w:rPr>
          <w:rFonts w:ascii="Garamond" w:hAnsi="Garamond"/>
          <w:sz w:val="22"/>
          <w:szCs w:val="22"/>
        </w:rPr>
      </w:pPr>
    </w:p>
    <w:p w14:paraId="3A10FE72" w14:textId="77777777" w:rsidR="00E90C6D" w:rsidRPr="00FD7602" w:rsidRDefault="00E90C6D" w:rsidP="0094395E">
      <w:pPr>
        <w:tabs>
          <w:tab w:val="left" w:pos="142"/>
          <w:tab w:val="left" w:pos="567"/>
          <w:tab w:val="left" w:pos="8789"/>
        </w:tabs>
        <w:ind w:right="49"/>
        <w:contextualSpacing/>
        <w:jc w:val="center"/>
        <w:rPr>
          <w:rFonts w:ascii="Garamond" w:eastAsia="Calibri" w:hAnsi="Garamond"/>
          <w:sz w:val="22"/>
          <w:szCs w:val="22"/>
          <w:highlight w:val="yellow"/>
        </w:rPr>
      </w:pPr>
    </w:p>
    <w:p w14:paraId="38FE3B9F" w14:textId="77777777" w:rsidR="00B36B89" w:rsidRPr="00FD7602" w:rsidRDefault="00B36B89"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bookmarkStart w:id="3" w:name="_Hlk89071028"/>
      <w:r w:rsidRPr="00FD7602">
        <w:rPr>
          <w:rFonts w:ascii="Garamond" w:eastAsia="Calibri" w:hAnsi="Garamond"/>
          <w:b/>
          <w:bCs/>
          <w:sz w:val="22"/>
          <w:szCs w:val="22"/>
        </w:rPr>
        <w:t>PRODUCTO INTERNO BRUTO (PIB)</w:t>
      </w:r>
    </w:p>
    <w:p w14:paraId="0C42254C" w14:textId="77777777" w:rsidR="00795CE2" w:rsidRPr="00FD7602" w:rsidRDefault="00795CE2" w:rsidP="00795CE2">
      <w:pPr>
        <w:tabs>
          <w:tab w:val="left" w:pos="142"/>
          <w:tab w:val="left" w:pos="567"/>
          <w:tab w:val="left" w:pos="8789"/>
        </w:tabs>
        <w:ind w:right="49"/>
        <w:contextualSpacing/>
        <w:jc w:val="both"/>
        <w:rPr>
          <w:rFonts w:ascii="Garamond" w:eastAsia="Calibri" w:hAnsi="Garamond"/>
          <w:b/>
          <w:bCs/>
          <w:sz w:val="22"/>
          <w:szCs w:val="22"/>
        </w:rPr>
      </w:pPr>
    </w:p>
    <w:p w14:paraId="609D829D" w14:textId="77777777" w:rsidR="0094395E" w:rsidRPr="00FD7602" w:rsidRDefault="0094395E" w:rsidP="0094395E">
      <w:p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2.5.1. PIB DESDE EL ENFOQUE DE LA PRODUCCIÓN</w:t>
      </w:r>
    </w:p>
    <w:p w14:paraId="15A8AF1C" w14:textId="77777777" w:rsidR="0094395E" w:rsidRPr="00FD7602" w:rsidRDefault="00C02808" w:rsidP="00776F0A">
      <w:pPr>
        <w:tabs>
          <w:tab w:val="left" w:pos="142"/>
          <w:tab w:val="left" w:pos="567"/>
          <w:tab w:val="left" w:pos="8789"/>
        </w:tabs>
        <w:ind w:right="49"/>
        <w:contextualSpacing/>
        <w:jc w:val="center"/>
        <w:rPr>
          <w:rFonts w:ascii="Garamond" w:eastAsia="Calibri" w:hAnsi="Garamond"/>
          <w:b/>
          <w:bCs/>
          <w:sz w:val="22"/>
          <w:szCs w:val="22"/>
        </w:rPr>
      </w:pPr>
      <w:r w:rsidRPr="00FD7602">
        <w:rPr>
          <w:rFonts w:ascii="Garamond" w:hAnsi="Garamond"/>
          <w:noProof/>
          <w:sz w:val="22"/>
          <w:szCs w:val="22"/>
        </w:rPr>
        <w:drawing>
          <wp:inline distT="0" distB="0" distL="0" distR="0" wp14:anchorId="136BB076" wp14:editId="255D563E">
            <wp:extent cx="5303520" cy="28285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b_q1_2026.png"/>
                    <pic:cNvPicPr/>
                  </pic:nvPicPr>
                  <pic:blipFill>
                    <a:blip r:embed="rId13"/>
                    <a:stretch>
                      <a:fillRect/>
                    </a:stretch>
                  </pic:blipFill>
                  <pic:spPr>
                    <a:xfrm>
                      <a:off x="0" y="0"/>
                      <a:ext cx="5303520" cy="2828544"/>
                    </a:xfrm>
                    <a:prstGeom prst="rect">
                      <a:avLst/>
                    </a:prstGeom>
                  </pic:spPr>
                </pic:pic>
              </a:graphicData>
            </a:graphic>
          </wp:inline>
        </w:drawing>
      </w:r>
    </w:p>
    <w:p w14:paraId="03527222" w14:textId="77777777" w:rsidR="0094395E" w:rsidRPr="00FD7602" w:rsidRDefault="0094395E" w:rsidP="0094395E">
      <w:pPr>
        <w:tabs>
          <w:tab w:val="left" w:pos="142"/>
          <w:tab w:val="left" w:pos="567"/>
          <w:tab w:val="left" w:pos="8789"/>
        </w:tabs>
        <w:ind w:right="49"/>
        <w:contextualSpacing/>
        <w:jc w:val="center"/>
        <w:rPr>
          <w:rFonts w:ascii="Garamond" w:eastAsia="Calibri" w:hAnsi="Garamond"/>
          <w:sz w:val="22"/>
          <w:szCs w:val="22"/>
          <w:highlight w:val="yellow"/>
        </w:rPr>
      </w:pPr>
      <w:r w:rsidRPr="00FD7602">
        <w:rPr>
          <w:rFonts w:ascii="Garamond" w:hAnsi="Garamond"/>
          <w:sz w:val="22"/>
          <w:szCs w:val="22"/>
        </w:rPr>
        <w:t>Fuente: DANE – Producto Interno Bruto (PIB), primer trimestre de 2026pr.</w:t>
      </w:r>
    </w:p>
    <w:p w14:paraId="0CF1353B" w14:textId="77777777" w:rsidR="0094395E" w:rsidRPr="00FD7602" w:rsidRDefault="0094395E" w:rsidP="0094395E">
      <w:pPr>
        <w:tabs>
          <w:tab w:val="left" w:pos="142"/>
          <w:tab w:val="left" w:pos="567"/>
          <w:tab w:val="left" w:pos="8789"/>
        </w:tabs>
        <w:ind w:right="49"/>
        <w:contextualSpacing/>
        <w:jc w:val="center"/>
        <w:rPr>
          <w:rFonts w:ascii="Garamond" w:eastAsia="Calibri" w:hAnsi="Garamond"/>
          <w:b/>
          <w:bCs/>
          <w:sz w:val="22"/>
          <w:szCs w:val="22"/>
        </w:rPr>
      </w:pPr>
    </w:p>
    <w:p w14:paraId="1C93D8BA"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 xml:space="preserve">De acuerdo con la información publicada por el DANE, el Producto Interno Bruto para el primer trimestre de 2026pr registró una variación anual de 2,2%. Esta cifra permite identificar un </w:t>
      </w:r>
      <w:r w:rsidRPr="00FD7602">
        <w:rPr>
          <w:rFonts w:ascii="Garamond" w:hAnsi="Garamond"/>
          <w:sz w:val="22"/>
          <w:szCs w:val="22"/>
        </w:rPr>
        <w:lastRenderedPageBreak/>
        <w:t>comportamiento de crecimiento moderado de la economía nacional, con efectos diferenciados por rama de actividad.</w:t>
      </w:r>
    </w:p>
    <w:p w14:paraId="6EEE1C31"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3FBC8371"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Para el análisis del presente proceso se resalta que las actividades de servicios, cultura, administración pública, educación, logística y apoyo comunitario continúan siendo relevantes dentro del sector terciario, al cual pertenece el objeto contractual.</w:t>
      </w:r>
    </w:p>
    <w:p w14:paraId="3E0B5D0B"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rPr>
      </w:pPr>
    </w:p>
    <w:p w14:paraId="54FD446A"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Las actividades de comercio, transporte, alojamiento y servicios de comida mantienen relación indirecta con la ejecución del proyecto, por su impacto en la operación logística, la movilidad de participantes, la alimentación, los insumos y la organización de eventos.</w:t>
      </w:r>
    </w:p>
    <w:p w14:paraId="1336730C"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Las actividades artísticas, de entretenimiento, recreación y otros servicios guardan relación directa con los componentes culturales, pedagógicos y conmemorativos del proyecto.</w:t>
      </w:r>
    </w:p>
    <w:p w14:paraId="2AE8535A"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La administración pública, educación, salud y servicios sociales se relacionan con la finalidad pública del proceso, orientada a fortalecer la participación, la pervivencia cultural, la transmisión de saberes y el enfoque étnico diferencial en la localidad.</w:t>
      </w:r>
    </w:p>
    <w:p w14:paraId="2DD25BD1" w14:textId="77777777" w:rsidR="0094395E" w:rsidRPr="00FD7602" w:rsidRDefault="0094395E" w:rsidP="0094395E">
      <w:pPr>
        <w:pStyle w:val="Prrafodelista"/>
        <w:tabs>
          <w:tab w:val="left" w:pos="142"/>
          <w:tab w:val="left" w:pos="567"/>
          <w:tab w:val="left" w:pos="8789"/>
        </w:tabs>
        <w:ind w:right="49"/>
        <w:jc w:val="both"/>
        <w:rPr>
          <w:rFonts w:ascii="Garamond" w:eastAsia="Calibri" w:hAnsi="Garamond"/>
          <w:sz w:val="22"/>
          <w:szCs w:val="22"/>
        </w:rPr>
      </w:pPr>
    </w:p>
    <w:p w14:paraId="7A193CA3"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Desde el enfoque del gasto, el comportamiento del consumo final, la inversión y los servicios incide en la disponibilidad de oferentes, en la formación de precios y en la capacidad de respuesta del mercado para atender procesos de carácter cultural y comunitario.</w:t>
      </w:r>
    </w:p>
    <w:p w14:paraId="35381FA5" w14:textId="77777777" w:rsidR="0094395E" w:rsidRPr="00FD7602" w:rsidRDefault="0094395E" w:rsidP="0094395E">
      <w:pPr>
        <w:tabs>
          <w:tab w:val="left" w:pos="142"/>
          <w:tab w:val="left" w:pos="567"/>
          <w:tab w:val="left" w:pos="8789"/>
        </w:tabs>
        <w:ind w:left="360" w:right="49"/>
        <w:jc w:val="both"/>
        <w:rPr>
          <w:rFonts w:ascii="Garamond" w:eastAsia="Calibri" w:hAnsi="Garamond"/>
          <w:sz w:val="22"/>
          <w:szCs w:val="22"/>
        </w:rPr>
      </w:pPr>
    </w:p>
    <w:p w14:paraId="4522BC1B"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Actividades artísticas, de entretenimiento y recreación y otras actividades de servicios; Actividades de los hogares individuales en calidad de empleadores; actividades no diferenciadas de los hogares individuales como productores de bienes y servicios para uso propio crece 4,1%. </w:t>
      </w:r>
    </w:p>
    <w:p w14:paraId="6097365E"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Actividades financieras y de seguros crece 1,0%. </w:t>
      </w:r>
    </w:p>
    <w:p w14:paraId="240D96D5" w14:textId="77777777" w:rsidR="0094395E" w:rsidRPr="00FD7602" w:rsidRDefault="0094395E" w:rsidP="0094395E">
      <w:pPr>
        <w:pStyle w:val="Prrafodelista"/>
        <w:numPr>
          <w:ilvl w:val="0"/>
          <w:numId w:val="41"/>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Administración pública y defensa; planes de seguridad social de afiliación obligatoria; Educación; Actividades de atención de la salud humana y de servicios sociales crece 0,6%.</w:t>
      </w:r>
    </w:p>
    <w:p w14:paraId="38602553"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5B84A09E" w14:textId="77777777" w:rsidR="0094395E" w:rsidRPr="00FD7602" w:rsidRDefault="0094395E" w:rsidP="0094395E">
      <w:p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2.5.2. PIB DESDE EL ENFOQUE DE GASTO</w:t>
      </w:r>
    </w:p>
    <w:p w14:paraId="0A12A179"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07C94ACB"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El análisis del PIB permite concluir que, aunque existe crecimiento económico, este se desarrolla en un escenario de cautela. Por ello, la entidad debe mantener criterios de planeación rigurosos y verificar que los costos del proceso se encuentren soportados en fuentes de mercado actualizadas.</w:t>
      </w:r>
    </w:p>
    <w:p w14:paraId="50470B30"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5085082E"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Gasto en consumo final crece 3,8%. </w:t>
      </w:r>
    </w:p>
    <w:p w14:paraId="1A979B17"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Formación bruta de capital crece 8,3%. </w:t>
      </w:r>
    </w:p>
    <w:p w14:paraId="452574AE"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Exportaciones crecen 2,4%. </w:t>
      </w:r>
    </w:p>
    <w:p w14:paraId="48FA214F"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Importaciones crecen 11,9%. </w:t>
      </w:r>
    </w:p>
    <w:p w14:paraId="3EDCB555" w14:textId="77777777" w:rsidR="0094395E" w:rsidRPr="00FD7602" w:rsidRDefault="0094395E" w:rsidP="0094395E">
      <w:pPr>
        <w:pStyle w:val="Prrafodelista"/>
        <w:tabs>
          <w:tab w:val="left" w:pos="142"/>
          <w:tab w:val="left" w:pos="567"/>
          <w:tab w:val="left" w:pos="8789"/>
        </w:tabs>
        <w:ind w:right="49"/>
        <w:jc w:val="both"/>
        <w:rPr>
          <w:rFonts w:ascii="Garamond" w:eastAsia="Calibri" w:hAnsi="Garamond"/>
          <w:sz w:val="22"/>
          <w:szCs w:val="22"/>
        </w:rPr>
      </w:pPr>
    </w:p>
    <w:p w14:paraId="34254B5B"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Respecto al trimestre inmediatamente anterior, el Producto Interno Bruto crece en 0,8%, en su serie ajustada por efecto estacional y calendario. Cuando se observa el comportamiento de sus componentes:</w:t>
      </w:r>
    </w:p>
    <w:p w14:paraId="15C8B4DB"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4FCF0462"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Gasto en consumo final decrece 1,1%. </w:t>
      </w:r>
    </w:p>
    <w:p w14:paraId="53E800BD"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Formación bruta de capital crece 0,2%. </w:t>
      </w:r>
    </w:p>
    <w:p w14:paraId="06712409"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 xml:space="preserve">Exportaciones decrecen 0,8%. </w:t>
      </w:r>
    </w:p>
    <w:p w14:paraId="3D802AC9"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eastAsia="Calibri" w:hAnsi="Garamond"/>
          <w:sz w:val="22"/>
          <w:szCs w:val="22"/>
        </w:rPr>
      </w:pPr>
      <w:r w:rsidRPr="00FD7602">
        <w:rPr>
          <w:rFonts w:ascii="Garamond" w:eastAsia="Calibri" w:hAnsi="Garamond"/>
          <w:sz w:val="22"/>
          <w:szCs w:val="22"/>
        </w:rPr>
        <w:t>Importaciones crecen 2,2%.</w:t>
      </w:r>
    </w:p>
    <w:p w14:paraId="78F63FBA" w14:textId="77777777" w:rsidR="0094395E" w:rsidRPr="00FD7602" w:rsidRDefault="0094395E" w:rsidP="0094395E">
      <w:pPr>
        <w:pStyle w:val="Prrafodelista"/>
        <w:numPr>
          <w:ilvl w:val="0"/>
          <w:numId w:val="11"/>
        </w:numPr>
        <w:tabs>
          <w:tab w:val="left" w:pos="142"/>
          <w:tab w:val="left" w:pos="567"/>
          <w:tab w:val="left" w:pos="8789"/>
        </w:tabs>
        <w:ind w:right="49"/>
        <w:jc w:val="both"/>
        <w:rPr>
          <w:rFonts w:ascii="Garamond" w:eastAsia="Calibri" w:hAnsi="Garamond"/>
          <w:b/>
          <w:bCs/>
          <w:sz w:val="22"/>
          <w:szCs w:val="22"/>
        </w:rPr>
      </w:pPr>
      <w:r w:rsidRPr="00FD7602">
        <w:rPr>
          <w:rFonts w:ascii="Garamond" w:hAnsi="Garamond"/>
          <w:sz w:val="22"/>
          <w:szCs w:val="22"/>
        </w:rPr>
        <w:t>Proyecciones de crecimiento del PIB para 2026 y 2027</w:t>
      </w:r>
    </w:p>
    <w:p w14:paraId="19F7B331" w14:textId="77777777" w:rsidR="0094395E" w:rsidRPr="00FD7602" w:rsidRDefault="0094395E" w:rsidP="0094395E">
      <w:pPr>
        <w:tabs>
          <w:tab w:val="left" w:pos="142"/>
          <w:tab w:val="left" w:pos="567"/>
          <w:tab w:val="left" w:pos="8789"/>
        </w:tabs>
        <w:ind w:right="49"/>
        <w:jc w:val="both"/>
        <w:rPr>
          <w:rFonts w:ascii="Garamond" w:eastAsia="Calibri" w:hAnsi="Garamond"/>
          <w:b/>
          <w:bCs/>
          <w:sz w:val="22"/>
          <w:szCs w:val="22"/>
          <w:highlight w:val="yellow"/>
        </w:rPr>
      </w:pPr>
    </w:p>
    <w:p w14:paraId="4EA21293" w14:textId="77777777" w:rsidR="0094395E" w:rsidRPr="00FD7602" w:rsidRDefault="0094395E" w:rsidP="0094395E">
      <w:pPr>
        <w:tabs>
          <w:tab w:val="left" w:pos="142"/>
          <w:tab w:val="left" w:pos="567"/>
          <w:tab w:val="left" w:pos="8789"/>
        </w:tabs>
        <w:ind w:right="49"/>
        <w:contextualSpacing/>
        <w:jc w:val="both"/>
        <w:rPr>
          <w:rFonts w:ascii="Garamond" w:eastAsia="Calibri" w:hAnsi="Garamond"/>
          <w:sz w:val="22"/>
          <w:szCs w:val="22"/>
          <w:highlight w:val="yellow"/>
        </w:rPr>
      </w:pPr>
      <w:r w:rsidRPr="00FD7602">
        <w:rPr>
          <w:rFonts w:ascii="Garamond" w:hAnsi="Garamond"/>
          <w:sz w:val="22"/>
          <w:szCs w:val="22"/>
        </w:rPr>
        <w:t>Conforme al panorama económico de la OCDE, el crecimiento de Colombia se moderaría hasta 2,4% en 2026 y 2,1% en 2027. En consecuencia, la contratación pública local debe estructurarse considerando un contexto de recuperación moderada, inflación persistente, condiciones financieras restrictivas y necesidad de focalizar el gasto público en intervenciones con impacto social y pertinencia territorial.</w:t>
      </w:r>
    </w:p>
    <w:p w14:paraId="3AAF7EF3"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79A5F92E" w14:textId="77777777" w:rsidR="0094395E" w:rsidRPr="00FD7602" w:rsidRDefault="0094395E" w:rsidP="0094395E">
      <w:pPr>
        <w:spacing w:after="160" w:line="259" w:lineRule="auto"/>
        <w:jc w:val="center"/>
        <w:rPr>
          <w:rFonts w:ascii="Garamond" w:eastAsia="Calibri" w:hAnsi="Garamond"/>
          <w:sz w:val="22"/>
          <w:szCs w:val="22"/>
          <w:highlight w:val="yellow"/>
        </w:rPr>
      </w:pPr>
    </w:p>
    <w:p w14:paraId="6F554FCC" w14:textId="77777777" w:rsidR="0094395E" w:rsidRPr="00FD7602" w:rsidRDefault="0094395E" w:rsidP="003940EB">
      <w:pPr>
        <w:jc w:val="center"/>
        <w:rPr>
          <w:rFonts w:ascii="Garamond" w:eastAsia="Calibri" w:hAnsi="Garamond"/>
          <w:sz w:val="22"/>
          <w:szCs w:val="22"/>
        </w:rPr>
      </w:pPr>
      <w:r w:rsidRPr="00FD7602">
        <w:rPr>
          <w:rFonts w:ascii="Garamond" w:hAnsi="Garamond"/>
          <w:sz w:val="22"/>
          <w:szCs w:val="22"/>
        </w:rPr>
        <w:t>Fuente: OCDE – Panorama económico de Colombia, actualización 2026. Consulta: https://www.oecd.org/es/topics/sub-issues/economic-surveys/colombia-economic-snapshot.html</w:t>
      </w:r>
    </w:p>
    <w:p w14:paraId="36E32924" w14:textId="77777777" w:rsidR="0094395E" w:rsidRPr="00FD7602" w:rsidRDefault="0094395E" w:rsidP="0094395E">
      <w:pPr>
        <w:jc w:val="both"/>
        <w:rPr>
          <w:rFonts w:ascii="Garamond" w:eastAsia="Calibri" w:hAnsi="Garamond"/>
          <w:sz w:val="22"/>
          <w:szCs w:val="22"/>
        </w:rPr>
      </w:pPr>
    </w:p>
    <w:p w14:paraId="43AE1070" w14:textId="77777777" w:rsidR="0094395E" w:rsidRPr="00FD7602" w:rsidRDefault="0094395E" w:rsidP="0094395E">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 xml:space="preserve">RESULTADOS AÑO CORRIDO DEL PIB </w:t>
      </w:r>
    </w:p>
    <w:p w14:paraId="07B961AC"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highlight w:val="yellow"/>
        </w:rPr>
      </w:pPr>
    </w:p>
    <w:p w14:paraId="6DE4B3D0" w14:textId="77777777" w:rsidR="0094395E" w:rsidRPr="00FD7602" w:rsidRDefault="0094395E" w:rsidP="0094395E">
      <w:pPr>
        <w:tabs>
          <w:tab w:val="left" w:pos="142"/>
          <w:tab w:val="left" w:pos="567"/>
          <w:tab w:val="left" w:pos="8789"/>
        </w:tabs>
        <w:ind w:right="49"/>
        <w:jc w:val="center"/>
        <w:rPr>
          <w:rFonts w:ascii="Garamond" w:hAnsi="Garamond"/>
          <w:sz w:val="22"/>
          <w:szCs w:val="22"/>
        </w:rPr>
      </w:pPr>
    </w:p>
    <w:p w14:paraId="79D31278" w14:textId="77777777" w:rsidR="0094395E" w:rsidRPr="00FD7602" w:rsidRDefault="0094395E" w:rsidP="0094395E">
      <w:pPr>
        <w:tabs>
          <w:tab w:val="left" w:pos="142"/>
          <w:tab w:val="left" w:pos="567"/>
          <w:tab w:val="left" w:pos="8789"/>
        </w:tabs>
        <w:ind w:right="49"/>
        <w:contextualSpacing/>
        <w:jc w:val="center"/>
        <w:rPr>
          <w:rFonts w:ascii="Garamond" w:eastAsia="Calibri" w:hAnsi="Garamond"/>
          <w:sz w:val="22"/>
          <w:szCs w:val="22"/>
          <w:highlight w:val="yellow"/>
        </w:rPr>
      </w:pPr>
      <w:r w:rsidRPr="00FD7602">
        <w:rPr>
          <w:rFonts w:ascii="Garamond" w:hAnsi="Garamond"/>
          <w:sz w:val="22"/>
          <w:szCs w:val="22"/>
        </w:rPr>
        <w:t>Fuente: DANE – Producto Interno Bruto (PIB), primer trimestre de 2026pr.</w:t>
      </w:r>
    </w:p>
    <w:p w14:paraId="3178729E" w14:textId="77777777" w:rsidR="0094395E" w:rsidRPr="00FD7602" w:rsidRDefault="0094395E" w:rsidP="0094395E">
      <w:pPr>
        <w:tabs>
          <w:tab w:val="left" w:pos="142"/>
          <w:tab w:val="left" w:pos="567"/>
          <w:tab w:val="left" w:pos="8789"/>
        </w:tabs>
        <w:ind w:right="49"/>
        <w:contextualSpacing/>
        <w:jc w:val="both"/>
        <w:rPr>
          <w:rFonts w:ascii="Garamond" w:hAnsi="Garamond"/>
          <w:sz w:val="22"/>
          <w:szCs w:val="22"/>
        </w:rPr>
      </w:pPr>
    </w:p>
    <w:p w14:paraId="74D1D5F6" w14:textId="77777777" w:rsidR="0094395E" w:rsidRPr="00FD7602" w:rsidRDefault="0094395E" w:rsidP="0094395E">
      <w:pPr>
        <w:pStyle w:val="Prrafodelista"/>
        <w:numPr>
          <w:ilvl w:val="0"/>
          <w:numId w:val="4"/>
        </w:numPr>
        <w:tabs>
          <w:tab w:val="left" w:pos="142"/>
          <w:tab w:val="left" w:pos="567"/>
          <w:tab w:val="left" w:pos="8789"/>
        </w:tabs>
        <w:ind w:right="49"/>
        <w:jc w:val="both"/>
        <w:rPr>
          <w:rFonts w:ascii="Garamond" w:hAnsi="Garamond"/>
          <w:sz w:val="22"/>
          <w:szCs w:val="22"/>
        </w:rPr>
      </w:pPr>
      <w:r w:rsidRPr="00FD7602">
        <w:rPr>
          <w:rFonts w:ascii="Garamond" w:hAnsi="Garamond"/>
          <w:sz w:val="22"/>
          <w:szCs w:val="22"/>
        </w:rPr>
        <w:t>Para el primer trimestre de 2026pr, el PIB creció 2,2% anual. Este resultado confirma que el proceso se estructura en un contexto de crecimiento moderado, por lo cual las condiciones de mercado deben revisarse con información actualizada de precios, servicios, logística y talento humano especializado.</w:t>
      </w:r>
    </w:p>
    <w:p w14:paraId="310A31E8" w14:textId="77777777" w:rsidR="00F91CA0" w:rsidRPr="00FD7602" w:rsidRDefault="00F91CA0" w:rsidP="00AE7FD8">
      <w:pPr>
        <w:tabs>
          <w:tab w:val="left" w:pos="142"/>
          <w:tab w:val="left" w:pos="567"/>
          <w:tab w:val="left" w:pos="8789"/>
        </w:tabs>
        <w:ind w:right="49"/>
        <w:contextualSpacing/>
        <w:jc w:val="both"/>
        <w:rPr>
          <w:rFonts w:ascii="Garamond" w:hAnsi="Garamond"/>
          <w:b/>
          <w:bCs/>
          <w:sz w:val="22"/>
          <w:szCs w:val="22"/>
        </w:rPr>
      </w:pPr>
    </w:p>
    <w:p w14:paraId="6F296EB7" w14:textId="77777777" w:rsidR="00ED03ED" w:rsidRPr="00FD7602" w:rsidRDefault="00ED03ED"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 xml:space="preserve"> AGENTES QUE COMPONEN EL SECTOR </w:t>
      </w:r>
    </w:p>
    <w:p w14:paraId="23894FBA" w14:textId="77777777" w:rsidR="00ED03ED" w:rsidRPr="00FD7602" w:rsidRDefault="00ED03ED" w:rsidP="00ED03ED">
      <w:pPr>
        <w:spacing w:line="259" w:lineRule="auto"/>
        <w:rPr>
          <w:rFonts w:ascii="Garamond" w:hAnsi="Garamond"/>
          <w:sz w:val="22"/>
          <w:szCs w:val="22"/>
        </w:rPr>
      </w:pPr>
    </w:p>
    <w:p w14:paraId="65C4661D"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En el sector relacionado con la prestación de servicios culturales, logísticos y comunitarios con enfoque étnico diferencial, particularmente dirigidos a los pueblos indígenas, la oferta disponible se caracteriza por su especialización y por responder a dinámicas organizativas propias de estas comunidades.</w:t>
      </w:r>
    </w:p>
    <w:p w14:paraId="3A8E54AE" w14:textId="77777777" w:rsidR="00C909C1" w:rsidRPr="00FD7602" w:rsidRDefault="00C909C1" w:rsidP="00C909C1">
      <w:pPr>
        <w:spacing w:line="259" w:lineRule="auto"/>
        <w:rPr>
          <w:rFonts w:ascii="Garamond" w:hAnsi="Garamond"/>
          <w:sz w:val="22"/>
          <w:szCs w:val="22"/>
          <w:lang w:val="es-MX"/>
        </w:rPr>
      </w:pPr>
    </w:p>
    <w:p w14:paraId="01537181"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En la localidad, se identifican principalmente cabildos, organizaciones indígenas y colectivos comunitarios que han desarrollado experiencia en la ejecución de actividades orientadas al fortalecimiento del gobierno propio, la revitalización de saberes ancestrales, la medicina tradicional, la protección del territorio y la realización de eventos culturales que promueven el reconocimiento de la identidad indígena en contextos urbanos.</w:t>
      </w:r>
    </w:p>
    <w:p w14:paraId="7936109E" w14:textId="77777777" w:rsidR="00C909C1" w:rsidRPr="00FD7602" w:rsidRDefault="00C909C1" w:rsidP="00C909C1">
      <w:pPr>
        <w:spacing w:line="259" w:lineRule="auto"/>
        <w:rPr>
          <w:rFonts w:ascii="Garamond" w:hAnsi="Garamond"/>
          <w:sz w:val="22"/>
          <w:szCs w:val="22"/>
          <w:lang w:val="es-MX"/>
        </w:rPr>
      </w:pPr>
    </w:p>
    <w:p w14:paraId="2A28646D"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Estas organizaciones cuentan con legitimidad dentro de sus comunidades, arraigo territorial, pertinencia cultural y conocimientos específicos sobre los usos y costumbres de sus pueblos, lo cual les permite garantizar una ejecución adecuada de los proyectos, asegurando la participación activa de la comunidad y el respeto por su cosmovisión y principios organizativos. Además, existen proveedores logísticos y actores técnicos que complementan esta oferta, facilitando las condiciones para el desarrollo integral de las actividades programadas.</w:t>
      </w:r>
    </w:p>
    <w:p w14:paraId="6AA185AF" w14:textId="77777777" w:rsidR="00C909C1" w:rsidRPr="00FD7602" w:rsidRDefault="00C909C1" w:rsidP="00C909C1">
      <w:pPr>
        <w:spacing w:line="259" w:lineRule="auto"/>
        <w:rPr>
          <w:rFonts w:ascii="Garamond" w:hAnsi="Garamond"/>
          <w:sz w:val="22"/>
          <w:szCs w:val="22"/>
          <w:lang w:val="es-MX"/>
        </w:rPr>
      </w:pPr>
    </w:p>
    <w:p w14:paraId="51926D7B"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rPr>
        <w:t>Es importante resaltar que, por la naturaleza especializada de estos servicios y el enfoque diferencial requerido, la oferta se encuentra concentrada en autoridades, cabildos, organizaciones indígenas y operadores con capacidad de articular servicios culturales, comunitarios y logísticos. La Ley 2160 de 2021 reconoce la capacidad de los cabildos indígenas, asociaciones de autoridades tradicionales indígenas y otras formas organizativas para celebrar contratos con entidades estatales, siempre que se cumplan las condiciones jurídicas y de idoneidad aplicables.</w:t>
      </w:r>
    </w:p>
    <w:p w14:paraId="797ED887" w14:textId="77777777" w:rsidR="00C909C1" w:rsidRPr="00FD7602" w:rsidRDefault="00C909C1" w:rsidP="00C909C1">
      <w:pPr>
        <w:spacing w:line="259" w:lineRule="auto"/>
        <w:rPr>
          <w:rFonts w:ascii="Garamond" w:hAnsi="Garamond"/>
          <w:sz w:val="22"/>
          <w:szCs w:val="22"/>
          <w:lang w:val="es-MX"/>
        </w:rPr>
      </w:pPr>
    </w:p>
    <w:p w14:paraId="1245B2E0"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El sector de servicios culturales y logísticos con enfoque indígena está conformado por diversos agentes que participan activamente en la planificación, implementación y evaluación de este tipo de procesos, entre ellos se destacan:</w:t>
      </w:r>
    </w:p>
    <w:p w14:paraId="16EBEA5C" w14:textId="77777777" w:rsidR="00C909C1" w:rsidRPr="00FD7602" w:rsidRDefault="00C909C1" w:rsidP="00C909C1">
      <w:pPr>
        <w:spacing w:line="259" w:lineRule="auto"/>
        <w:rPr>
          <w:rFonts w:ascii="Garamond" w:hAnsi="Garamond"/>
          <w:sz w:val="22"/>
          <w:szCs w:val="22"/>
          <w:lang w:val="es-MX"/>
        </w:rPr>
      </w:pPr>
    </w:p>
    <w:p w14:paraId="738A7AA0"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Ministerio del Interior; Dirección de Asuntos Indígenas, ROM y Minorías: Encargada de promover el ejercicio de los derechos fundamentales de los pueblos indígenas, garantizar su participación efectiva en los asuntos públicos, y coordinar acciones interinstitucionales en el marco de sus planes de vida.</w:t>
      </w:r>
    </w:p>
    <w:p w14:paraId="228F369A" w14:textId="77777777" w:rsidR="00C909C1" w:rsidRPr="00FD7602" w:rsidRDefault="00C909C1" w:rsidP="00C909C1">
      <w:pPr>
        <w:spacing w:line="259" w:lineRule="auto"/>
        <w:rPr>
          <w:rFonts w:ascii="Garamond" w:hAnsi="Garamond"/>
          <w:sz w:val="22"/>
          <w:szCs w:val="22"/>
          <w:lang w:val="es-MX"/>
        </w:rPr>
      </w:pPr>
    </w:p>
    <w:p w14:paraId="6B2E69C4"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Ministerio de Cultura: Entidad rectora de la política cultural del país, que fomenta el fortalecimiento del patrimonio cultural inmaterial indígena, la salvaguarda de lenguas nativas, la memoria colectiva y las expresiones artísticas tradicionales.</w:t>
      </w:r>
    </w:p>
    <w:p w14:paraId="6E9C6A67" w14:textId="77777777" w:rsidR="00C909C1" w:rsidRPr="00FD7602" w:rsidRDefault="00C909C1" w:rsidP="00C909C1">
      <w:pPr>
        <w:spacing w:line="259" w:lineRule="auto"/>
        <w:rPr>
          <w:rFonts w:ascii="Garamond" w:hAnsi="Garamond"/>
          <w:sz w:val="22"/>
          <w:szCs w:val="22"/>
          <w:lang w:val="es-MX"/>
        </w:rPr>
      </w:pPr>
    </w:p>
    <w:p w14:paraId="01AAE855"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Organizaciones Indígenas Urbanas: Cabildos y colectivos de pueblos indígenas residentes en Bogotá que cuentan con reconocimiento del Ministerio del Interior y que lideran procesos de representación, defensa de derechos y ejecución de proyectos comunitarios con enfoque étnico.</w:t>
      </w:r>
    </w:p>
    <w:p w14:paraId="149FC28C" w14:textId="77777777" w:rsidR="00C909C1" w:rsidRPr="00FD7602" w:rsidRDefault="00C909C1" w:rsidP="00C909C1">
      <w:pPr>
        <w:spacing w:line="259" w:lineRule="auto"/>
        <w:rPr>
          <w:rFonts w:ascii="Garamond" w:hAnsi="Garamond"/>
          <w:sz w:val="22"/>
          <w:szCs w:val="22"/>
          <w:lang w:val="es-MX"/>
        </w:rPr>
      </w:pPr>
    </w:p>
    <w:p w14:paraId="4FF73B25"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Mesa Local Indígena de Ciudad Bolívar: Espacio de articulación y participación en el que confluyen representantes de los distintos pueblos indígenas asentados en la localidad. Tiene un rol clave en la concertación de iniciativas y en el seguimiento de políticas públicas con enfoque diferencial.</w:t>
      </w:r>
    </w:p>
    <w:p w14:paraId="5AA4D374" w14:textId="77777777" w:rsidR="00C909C1" w:rsidRPr="00FD7602" w:rsidRDefault="00C909C1" w:rsidP="00C909C1">
      <w:pPr>
        <w:spacing w:line="259" w:lineRule="auto"/>
        <w:rPr>
          <w:rFonts w:ascii="Garamond" w:hAnsi="Garamond"/>
          <w:sz w:val="22"/>
          <w:szCs w:val="22"/>
          <w:lang w:val="es-MX"/>
        </w:rPr>
      </w:pPr>
    </w:p>
    <w:p w14:paraId="00510141"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Sabedores y Sabedoras Ancestrales: Líderes tradicionales que preservan, transmiten y practican los conocimientos propios en ámbitos como la medicina ancestral, la espiritualidad, la pedagogía indígena y los procesos de armonización.</w:t>
      </w:r>
    </w:p>
    <w:p w14:paraId="3EA9D49C" w14:textId="77777777" w:rsidR="00C909C1" w:rsidRPr="00FD7602" w:rsidRDefault="00C909C1" w:rsidP="00C909C1">
      <w:pPr>
        <w:spacing w:line="259" w:lineRule="auto"/>
        <w:jc w:val="both"/>
        <w:rPr>
          <w:rFonts w:ascii="Garamond" w:hAnsi="Garamond"/>
          <w:sz w:val="22"/>
          <w:szCs w:val="22"/>
          <w:lang w:val="es-MX"/>
        </w:rPr>
      </w:pPr>
    </w:p>
    <w:p w14:paraId="144E2EC8" w14:textId="77777777" w:rsidR="00C909C1" w:rsidRPr="00FD7602" w:rsidRDefault="00C909C1" w:rsidP="00C909C1">
      <w:pPr>
        <w:spacing w:line="259" w:lineRule="auto"/>
        <w:jc w:val="both"/>
        <w:rPr>
          <w:rFonts w:ascii="Garamond" w:hAnsi="Garamond"/>
          <w:sz w:val="22"/>
          <w:szCs w:val="22"/>
          <w:lang w:val="es-MX"/>
        </w:rPr>
      </w:pPr>
      <w:r w:rsidRPr="00FD7602">
        <w:rPr>
          <w:rFonts w:ascii="Garamond" w:hAnsi="Garamond"/>
          <w:sz w:val="22"/>
          <w:szCs w:val="22"/>
          <w:lang w:val="es-MX"/>
        </w:rPr>
        <w:t>Colectivos Culturales Indígenas: Grupos que promueven y visibilizan expresiones propias como danzas, música, oralidad, tejidos, juegos autóctonos, y otras manifestaciones vinculadas a sus cosmogonías.</w:t>
      </w:r>
    </w:p>
    <w:p w14:paraId="166562CF" w14:textId="77777777" w:rsidR="00C909C1" w:rsidRPr="00FD7602" w:rsidRDefault="00C909C1" w:rsidP="00C909C1">
      <w:pPr>
        <w:spacing w:line="259" w:lineRule="auto"/>
        <w:jc w:val="both"/>
        <w:rPr>
          <w:rFonts w:ascii="Garamond" w:hAnsi="Garamond"/>
          <w:sz w:val="22"/>
          <w:szCs w:val="22"/>
          <w:lang w:val="es-MX"/>
        </w:rPr>
      </w:pPr>
    </w:p>
    <w:p w14:paraId="4A8C62DC" w14:textId="77777777" w:rsidR="00C909C1" w:rsidRPr="00FD7602" w:rsidRDefault="00C909C1" w:rsidP="00B03FBE">
      <w:pPr>
        <w:spacing w:line="259" w:lineRule="auto"/>
        <w:jc w:val="both"/>
        <w:rPr>
          <w:rFonts w:ascii="Garamond" w:hAnsi="Garamond"/>
          <w:sz w:val="22"/>
          <w:szCs w:val="22"/>
          <w:lang w:val="es-MX"/>
        </w:rPr>
      </w:pPr>
      <w:r w:rsidRPr="00FD7602">
        <w:rPr>
          <w:rFonts w:ascii="Garamond" w:hAnsi="Garamond"/>
          <w:sz w:val="22"/>
          <w:szCs w:val="22"/>
          <w:lang w:val="es-MX"/>
        </w:rPr>
        <w:t>Proveedores de Servicios Logísticos: Empresas o personas naturales que apoyan la implementación de eventos y jornadas comunitarias mediante servicios de transporte, montaje, sonido, alimentación, entre otros, respetando criterios de pertinencia y adecuación cultural.</w:t>
      </w:r>
    </w:p>
    <w:p w14:paraId="06B96C97" w14:textId="77777777" w:rsidR="00C909C1" w:rsidRPr="00FD7602" w:rsidRDefault="00C909C1" w:rsidP="00B03FBE">
      <w:pPr>
        <w:spacing w:line="259" w:lineRule="auto"/>
        <w:jc w:val="both"/>
        <w:rPr>
          <w:rFonts w:ascii="Garamond" w:hAnsi="Garamond"/>
          <w:sz w:val="22"/>
          <w:szCs w:val="22"/>
          <w:lang w:val="es-MX"/>
        </w:rPr>
      </w:pPr>
    </w:p>
    <w:p w14:paraId="12878818" w14:textId="77777777" w:rsidR="00C909C1" w:rsidRPr="00FD7602" w:rsidRDefault="00C909C1" w:rsidP="00B03FBE">
      <w:pPr>
        <w:spacing w:line="259" w:lineRule="auto"/>
        <w:jc w:val="both"/>
        <w:rPr>
          <w:rFonts w:ascii="Garamond" w:hAnsi="Garamond"/>
          <w:sz w:val="22"/>
          <w:szCs w:val="22"/>
          <w:lang w:val="es-MX"/>
        </w:rPr>
      </w:pPr>
      <w:r w:rsidRPr="00FD7602">
        <w:rPr>
          <w:rFonts w:ascii="Garamond" w:hAnsi="Garamond"/>
          <w:sz w:val="22"/>
          <w:szCs w:val="22"/>
          <w:lang w:val="es-MX"/>
        </w:rPr>
        <w:t>Entidades Territoriales: Alcaldías locales, Secretaría de Gobierno, Secretaría de Cultura, Secretaría de Integración Social, Instituto Distrital de la Participación y Acción Comunal (IDPAC) y otras instancias del Distrito que formulan, acompañan y evalúan la implementación de políticas públicas con enfoque étnico.</w:t>
      </w:r>
    </w:p>
    <w:p w14:paraId="747CACC6" w14:textId="77777777" w:rsidR="00C909C1" w:rsidRPr="00FD7602" w:rsidRDefault="00C909C1" w:rsidP="00B03FBE">
      <w:pPr>
        <w:spacing w:line="259" w:lineRule="auto"/>
        <w:jc w:val="both"/>
        <w:rPr>
          <w:rFonts w:ascii="Garamond" w:hAnsi="Garamond"/>
          <w:sz w:val="22"/>
          <w:szCs w:val="22"/>
          <w:lang w:val="es-MX"/>
        </w:rPr>
      </w:pPr>
    </w:p>
    <w:p w14:paraId="6DFD20A3" w14:textId="77777777" w:rsidR="00C909C1" w:rsidRPr="00FD7602" w:rsidRDefault="00C909C1" w:rsidP="00B03FBE">
      <w:pPr>
        <w:spacing w:line="259" w:lineRule="auto"/>
        <w:jc w:val="both"/>
        <w:rPr>
          <w:rFonts w:ascii="Garamond" w:hAnsi="Garamond"/>
          <w:sz w:val="22"/>
          <w:szCs w:val="22"/>
          <w:lang w:val="es-MX"/>
        </w:rPr>
      </w:pPr>
      <w:r w:rsidRPr="00FD7602">
        <w:rPr>
          <w:rFonts w:ascii="Garamond" w:hAnsi="Garamond"/>
          <w:sz w:val="22"/>
          <w:szCs w:val="22"/>
          <w:lang w:val="es-MX"/>
        </w:rPr>
        <w:t xml:space="preserve">Líderes y Gestores Indígenas: Actores que dinamizan la participación comunitaria, promueven la pervivencia cultural de sus pueblos en contexto urbano y articulan procesos con entidades del </w:t>
      </w:r>
      <w:r w:rsidR="00B03FBE" w:rsidRPr="00FD7602">
        <w:rPr>
          <w:rFonts w:ascii="Garamond" w:hAnsi="Garamond"/>
          <w:sz w:val="22"/>
          <w:szCs w:val="22"/>
          <w:lang w:val="es-MX"/>
        </w:rPr>
        <w:t>e</w:t>
      </w:r>
      <w:r w:rsidRPr="00FD7602">
        <w:rPr>
          <w:rFonts w:ascii="Garamond" w:hAnsi="Garamond"/>
          <w:sz w:val="22"/>
          <w:szCs w:val="22"/>
          <w:lang w:val="es-MX"/>
        </w:rPr>
        <w:t>stado para el reconocimiento y garantía de sus derechos colectivos.</w:t>
      </w:r>
    </w:p>
    <w:p w14:paraId="22D9FF08" w14:textId="77777777" w:rsidR="00C909C1" w:rsidRPr="00FD7602" w:rsidRDefault="00C909C1" w:rsidP="00B03FBE">
      <w:pPr>
        <w:spacing w:line="259" w:lineRule="auto"/>
        <w:jc w:val="both"/>
        <w:rPr>
          <w:rFonts w:ascii="Garamond" w:hAnsi="Garamond"/>
          <w:sz w:val="22"/>
          <w:szCs w:val="22"/>
          <w:lang w:val="es-MX"/>
        </w:rPr>
      </w:pPr>
    </w:p>
    <w:p w14:paraId="2019AC73" w14:textId="77777777" w:rsidR="00C909C1" w:rsidRPr="00FD7602" w:rsidRDefault="00C909C1" w:rsidP="00B03FBE">
      <w:pPr>
        <w:spacing w:line="259" w:lineRule="auto"/>
        <w:jc w:val="both"/>
        <w:rPr>
          <w:rFonts w:ascii="Garamond" w:hAnsi="Garamond"/>
          <w:sz w:val="22"/>
          <w:szCs w:val="22"/>
          <w:lang w:val="es-MX"/>
        </w:rPr>
      </w:pPr>
      <w:r w:rsidRPr="00FD7602">
        <w:rPr>
          <w:rFonts w:ascii="Garamond" w:hAnsi="Garamond"/>
          <w:sz w:val="22"/>
          <w:szCs w:val="22"/>
          <w:lang w:val="es-MX"/>
        </w:rPr>
        <w:t>Gremios y Asociaciones Indígenas: Redes, consejos y plataformas organizativas que agrupan a pueblos y organizaciones indígenas, promoviendo el fortalecimiento organizativo, la interlocución política y el acceso a procesos de formación y financiación.</w:t>
      </w:r>
    </w:p>
    <w:p w14:paraId="13F989C0" w14:textId="77777777" w:rsidR="00C909C1" w:rsidRPr="00FD7602" w:rsidRDefault="00C909C1" w:rsidP="00C909C1">
      <w:pPr>
        <w:spacing w:line="259" w:lineRule="auto"/>
        <w:rPr>
          <w:rFonts w:ascii="Garamond" w:hAnsi="Garamond"/>
          <w:sz w:val="22"/>
          <w:szCs w:val="22"/>
          <w:lang w:val="es-MX"/>
        </w:rPr>
      </w:pPr>
    </w:p>
    <w:p w14:paraId="672659A6" w14:textId="77777777" w:rsidR="00C909C1" w:rsidRPr="00FD7602" w:rsidRDefault="00C909C1" w:rsidP="00B03FBE">
      <w:pPr>
        <w:spacing w:line="259" w:lineRule="auto"/>
        <w:jc w:val="both"/>
        <w:rPr>
          <w:rFonts w:ascii="Garamond" w:hAnsi="Garamond"/>
          <w:sz w:val="22"/>
          <w:szCs w:val="22"/>
          <w:lang w:val="es-MX"/>
        </w:rPr>
      </w:pPr>
      <w:r w:rsidRPr="00FD7602">
        <w:rPr>
          <w:rFonts w:ascii="Garamond" w:hAnsi="Garamond"/>
          <w:sz w:val="22"/>
          <w:szCs w:val="22"/>
          <w:lang w:val="es-MX"/>
        </w:rPr>
        <w:t>Público Beneficiario: Está conformado por los pueblos indígenas residentes en la localidad de Ciudad Bolívar, quienes participan y se benefician directamente de las acciones culturales, pedagógicas, comunitarias y de fortalecimiento identitario desarrolladas en el marco de este proceso.</w:t>
      </w:r>
    </w:p>
    <w:p w14:paraId="454A1969" w14:textId="77777777" w:rsidR="00B03FBE" w:rsidRPr="00FD7602" w:rsidRDefault="00B03FBE" w:rsidP="00ED03ED">
      <w:pPr>
        <w:spacing w:line="259" w:lineRule="auto"/>
        <w:rPr>
          <w:rFonts w:ascii="Garamond" w:hAnsi="Garamond"/>
          <w:sz w:val="22"/>
          <w:szCs w:val="22"/>
        </w:rPr>
      </w:pPr>
    </w:p>
    <w:p w14:paraId="46BD9E65" w14:textId="77777777" w:rsidR="00CC1FA6" w:rsidRPr="00FD7602" w:rsidRDefault="00CC1FA6"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 xml:space="preserve">ASPECTOS INTERNACIONALES – ACUERDOS COMERCIALES </w:t>
      </w:r>
    </w:p>
    <w:p w14:paraId="73726CF1" w14:textId="77777777" w:rsidR="00CC1FA6" w:rsidRPr="00FD7602" w:rsidRDefault="00CC1FA6" w:rsidP="00CC1FA6">
      <w:pPr>
        <w:pStyle w:val="Prrafodelista"/>
        <w:tabs>
          <w:tab w:val="left" w:pos="142"/>
          <w:tab w:val="left" w:pos="567"/>
          <w:tab w:val="left" w:pos="8789"/>
        </w:tabs>
        <w:ind w:right="49"/>
        <w:jc w:val="both"/>
        <w:rPr>
          <w:rFonts w:ascii="Garamond" w:eastAsia="Calibri" w:hAnsi="Garamond"/>
          <w:b/>
          <w:bCs/>
          <w:sz w:val="22"/>
          <w:szCs w:val="22"/>
        </w:rPr>
      </w:pPr>
    </w:p>
    <w:p w14:paraId="07CA5B1B" w14:textId="77777777" w:rsidR="00994A1E" w:rsidRPr="00FD7602" w:rsidRDefault="009E57C3" w:rsidP="00B03FBE">
      <w:pPr>
        <w:ind w:left="-5" w:right="30"/>
        <w:jc w:val="both"/>
        <w:rPr>
          <w:rFonts w:ascii="Garamond" w:hAnsi="Garamond"/>
          <w:sz w:val="22"/>
          <w:szCs w:val="22"/>
        </w:rPr>
      </w:pPr>
      <w:r w:rsidRPr="00FD7602">
        <w:rPr>
          <w:rFonts w:ascii="Garamond" w:hAnsi="Garamond"/>
          <w:sz w:val="22"/>
          <w:szCs w:val="22"/>
        </w:rPr>
        <w:t>El presente proceso de contratación directa no se encuentra cobijado por acuerdos comerciales vigentes suscritos por Colombia, toda vez que la modalidad y la naturaleza del objeto corresponden a la contratación directa con una autoridad u organización indígena, en el marco de las reglas especiales aplicables y de la necesidad de garantizar pertinencia cultural, participación efectiva y enfoque étnico diferencial.</w:t>
      </w:r>
    </w:p>
    <w:p w14:paraId="02C68D4A" w14:textId="77777777" w:rsidR="001E2D25" w:rsidRPr="00FD7602" w:rsidRDefault="001E2D25" w:rsidP="00B03FBE">
      <w:pPr>
        <w:ind w:left="-5" w:right="30"/>
        <w:jc w:val="both"/>
        <w:rPr>
          <w:rFonts w:ascii="Garamond" w:hAnsi="Garamond"/>
          <w:sz w:val="22"/>
          <w:szCs w:val="22"/>
          <w:u w:val="single"/>
        </w:rPr>
      </w:pPr>
    </w:p>
    <w:p w14:paraId="7915D087" w14:textId="77777777" w:rsidR="00F72CCE" w:rsidRPr="00FD7602" w:rsidRDefault="00F72CCE" w:rsidP="00F72CCE">
      <w:pPr>
        <w:pStyle w:val="Prrafodelista"/>
        <w:tabs>
          <w:tab w:val="left" w:pos="142"/>
          <w:tab w:val="left" w:pos="567"/>
          <w:tab w:val="left" w:pos="8789"/>
        </w:tabs>
        <w:ind w:left="1276" w:right="49"/>
        <w:jc w:val="both"/>
        <w:rPr>
          <w:rFonts w:ascii="Garamond" w:hAnsi="Garamond"/>
          <w:sz w:val="22"/>
          <w:szCs w:val="22"/>
        </w:rPr>
      </w:pPr>
    </w:p>
    <w:p w14:paraId="54EDD450" w14:textId="77777777" w:rsidR="00E56E1D" w:rsidRPr="00FD7602" w:rsidRDefault="00E56E1D"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lang w:val="es-MX"/>
        </w:rPr>
      </w:pPr>
      <w:r w:rsidRPr="00FD7602">
        <w:rPr>
          <w:rFonts w:ascii="Garamond" w:eastAsia="Calibri" w:hAnsi="Garamond"/>
          <w:b/>
          <w:bCs/>
          <w:sz w:val="22"/>
          <w:szCs w:val="22"/>
          <w:lang w:val="es-MX"/>
        </w:rPr>
        <w:t xml:space="preserve">VARIABLES ECONÓMICAS QUE PUEDAN AFECTAR LA ADQUISICIÓN </w:t>
      </w:r>
    </w:p>
    <w:p w14:paraId="42F6D1E9" w14:textId="77777777" w:rsidR="00342AD0" w:rsidRPr="00FD7602" w:rsidRDefault="00342AD0" w:rsidP="00342AD0">
      <w:pPr>
        <w:tabs>
          <w:tab w:val="left" w:pos="142"/>
          <w:tab w:val="left" w:pos="567"/>
          <w:tab w:val="left" w:pos="8789"/>
        </w:tabs>
        <w:ind w:right="49"/>
        <w:jc w:val="both"/>
        <w:rPr>
          <w:rFonts w:ascii="Garamond" w:eastAsia="Calibri" w:hAnsi="Garamond"/>
          <w:sz w:val="22"/>
          <w:szCs w:val="22"/>
          <w:lang w:val="es-MX"/>
        </w:rPr>
      </w:pPr>
    </w:p>
    <w:p w14:paraId="11DFB11D" w14:textId="2B74A33F" w:rsidR="0094395E" w:rsidRPr="00FD7602" w:rsidRDefault="0094395E" w:rsidP="0094395E">
      <w:pPr>
        <w:spacing w:line="269" w:lineRule="exact"/>
        <w:ind w:right="-38"/>
        <w:jc w:val="both"/>
        <w:rPr>
          <w:rFonts w:ascii="Garamond" w:eastAsia="Calibri" w:hAnsi="Garamond"/>
          <w:sz w:val="22"/>
          <w:szCs w:val="22"/>
        </w:rPr>
      </w:pPr>
      <w:r w:rsidRPr="00FD7602">
        <w:rPr>
          <w:rFonts w:ascii="Garamond" w:hAnsi="Garamond"/>
          <w:sz w:val="22"/>
          <w:szCs w:val="22"/>
        </w:rPr>
        <w:t xml:space="preserve">Para desarrollar la proyección de variables que deben ser consideradas por parte de la administración, entorno a la toma de decisiones que podrían considerarse variables de negatividad o favorabilidad en la ejecución del contrato que tendrá por objeto: </w:t>
      </w:r>
      <w:r w:rsidRPr="00FD7602">
        <w:rPr>
          <w:rFonts w:ascii="Garamond" w:hAnsi="Garamond"/>
          <w:b/>
          <w:bCs/>
          <w:sz w:val="22"/>
          <w:szCs w:val="22"/>
        </w:rPr>
        <w:t>“</w:t>
      </w:r>
      <w:r w:rsidR="00FD7602" w:rsidRPr="00FD7602">
        <w:rPr>
          <w:rFonts w:ascii="Garamond" w:hAnsi="Garamond"/>
          <w:b/>
          <w:bCs/>
          <w:sz w:val="22"/>
          <w:szCs w:val="22"/>
        </w:rPr>
        <w:t xml:space="preserve">EJECUTAR, IMPLEMENTAR Y FORTALECER LAS INICIATIVAS DE MEDICINA ANCESTRAL, </w:t>
      </w:r>
      <w:proofErr w:type="gramStart"/>
      <w:r w:rsidR="00FD7602" w:rsidRPr="00FD7602">
        <w:rPr>
          <w:rFonts w:ascii="Garamond" w:hAnsi="Garamond"/>
          <w:b/>
          <w:bCs/>
          <w:sz w:val="22"/>
          <w:szCs w:val="22"/>
        </w:rPr>
        <w:t>PRÁCTICAS CULTURALES Y CONMEMORACIONES CULTURALES</w:t>
      </w:r>
      <w:proofErr w:type="gramEnd"/>
      <w:r w:rsidR="00FD7602" w:rsidRPr="00FD7602">
        <w:rPr>
          <w:rFonts w:ascii="Garamond" w:hAnsi="Garamond"/>
          <w:b/>
          <w:bCs/>
          <w:sz w:val="22"/>
          <w:szCs w:val="22"/>
        </w:rPr>
        <w:t xml:space="preserve"> CONCERTADAS CON LOS PUEBLOS INDÍGENAS DE CIUDAD BOLÍVAR EN EL MARCO DEL PROYECTO DE INVERSIÓN 2318, VIGENCIA 2026</w:t>
      </w:r>
      <w:r w:rsidRPr="00FD7602">
        <w:rPr>
          <w:rFonts w:ascii="Garamond" w:hAnsi="Garamond"/>
          <w:b/>
          <w:bCs/>
          <w:sz w:val="22"/>
          <w:szCs w:val="22"/>
        </w:rPr>
        <w:t>”.</w:t>
      </w:r>
      <w:r w:rsidRPr="00FD7602">
        <w:rPr>
          <w:rFonts w:ascii="Garamond" w:hAnsi="Garamond"/>
          <w:sz w:val="22"/>
          <w:szCs w:val="22"/>
        </w:rPr>
        <w:t xml:space="preserve"> Se validaron condiciones económicas según el primer trimestre del año, dada por el Banco de la República de Colombia, el Departamento Administrativo Nacional de Estadística (DANE) , y la Organización para la Cooperación y Desarrollo Económico (OCDE), teniendo en cuenta las cadenas de abastecimiento, producción y venta en Colombia, de bienes y servicios que se pretenden suplir, por lo cual  se consideraron variables económicas, tendencias basadas en datos y proyecciones futuras económicas frente a las variables del mercado. </w:t>
      </w:r>
    </w:p>
    <w:p w14:paraId="4D9A545D"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34A361C8" w14:textId="77777777" w:rsidR="0094395E" w:rsidRPr="00FD7602" w:rsidRDefault="0094395E" w:rsidP="0094395E">
      <w:pPr>
        <w:numPr>
          <w:ilvl w:val="0"/>
          <w:numId w:val="1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Inflación general: Según el DANE, en mayo de 2026 el IPC anual fue 5,84%, con variación año corrido de 4,36%. Este comportamiento puede incidir en los costos de transporte, alimentación, insumos, servicios logísticos, alquiler de espacios, impresión y elementos de apoyo a las actividades.</w:t>
      </w:r>
    </w:p>
    <w:p w14:paraId="7AEB0201" w14:textId="77777777" w:rsidR="0094395E" w:rsidRPr="00FD7602" w:rsidRDefault="0094395E" w:rsidP="0094395E">
      <w:pPr>
        <w:tabs>
          <w:tab w:val="left" w:pos="142"/>
          <w:tab w:val="left" w:pos="567"/>
          <w:tab w:val="left" w:pos="8789"/>
        </w:tabs>
        <w:ind w:left="720" w:right="49"/>
        <w:jc w:val="both"/>
        <w:rPr>
          <w:rFonts w:ascii="Garamond" w:eastAsia="Calibri" w:hAnsi="Garamond"/>
          <w:b/>
          <w:bCs/>
          <w:sz w:val="22"/>
          <w:szCs w:val="22"/>
        </w:rPr>
      </w:pPr>
    </w:p>
    <w:p w14:paraId="24B8E417" w14:textId="77777777" w:rsidR="0094395E" w:rsidRPr="00FD7602" w:rsidRDefault="0094395E" w:rsidP="0094395E">
      <w:pPr>
        <w:pStyle w:val="Prrafodelista"/>
        <w:numPr>
          <w:ilvl w:val="0"/>
          <w:numId w:val="1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Tipo de cambio: La variación de la tasa de cambio puede afectar indirectamente bienes importados o insumos cuyos precios estén ligados a materias primas, combustibles, transporte, equipos de sonido, elementos tecnológicos, impresos o materiales logísticos.</w:t>
      </w:r>
    </w:p>
    <w:p w14:paraId="6413066B" w14:textId="77777777" w:rsidR="0094395E" w:rsidRPr="00FD7602" w:rsidRDefault="0094395E" w:rsidP="0094395E">
      <w:pPr>
        <w:pStyle w:val="Prrafodelista"/>
        <w:jc w:val="both"/>
        <w:rPr>
          <w:rFonts w:ascii="Garamond" w:eastAsia="Calibri" w:hAnsi="Garamond"/>
          <w:b/>
          <w:bCs/>
          <w:sz w:val="22"/>
          <w:szCs w:val="22"/>
        </w:rPr>
      </w:pPr>
    </w:p>
    <w:p w14:paraId="48EA1C53" w14:textId="77777777" w:rsidR="0094395E" w:rsidRPr="00FD7602" w:rsidRDefault="0094395E" w:rsidP="0094395E">
      <w:pPr>
        <w:pStyle w:val="Prrafodelista"/>
        <w:numPr>
          <w:ilvl w:val="0"/>
          <w:numId w:val="1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Condiciones logísticas y de transporte: En mayo de 2026, el DANE informó que el Índice de Costos del Transporte de Carga por Carretera (ICTC) registró una variación mensual de 0,79%. El grupo Combustibles presentó una variación de 1,73%, por encima del promedio nacional, lo cual puede incidir en traslados, distribución de insumos, transporte de equipos y operación logística.</w:t>
      </w:r>
    </w:p>
    <w:p w14:paraId="584D73BE" w14:textId="77777777" w:rsidR="0094395E" w:rsidRPr="00FD7602" w:rsidRDefault="0094395E" w:rsidP="0094395E">
      <w:pPr>
        <w:tabs>
          <w:tab w:val="left" w:pos="142"/>
          <w:tab w:val="left" w:pos="567"/>
          <w:tab w:val="left" w:pos="8789"/>
        </w:tabs>
        <w:ind w:right="49"/>
        <w:jc w:val="both"/>
        <w:rPr>
          <w:rFonts w:ascii="Garamond" w:eastAsia="Calibri" w:hAnsi="Garamond"/>
          <w:sz w:val="22"/>
          <w:szCs w:val="22"/>
        </w:rPr>
      </w:pPr>
    </w:p>
    <w:p w14:paraId="2E5E26D4" w14:textId="77777777" w:rsidR="00AA27A7" w:rsidRPr="00FD7602" w:rsidRDefault="0094395E" w:rsidP="0094395E">
      <w:pPr>
        <w:pStyle w:val="Prrafodelista"/>
        <w:numPr>
          <w:ilvl w:val="0"/>
          <w:numId w:val="11"/>
        </w:numPr>
        <w:tabs>
          <w:tab w:val="left" w:pos="142"/>
          <w:tab w:val="left" w:pos="567"/>
          <w:tab w:val="left" w:pos="8789"/>
        </w:tabs>
        <w:ind w:right="49"/>
        <w:jc w:val="both"/>
        <w:rPr>
          <w:rFonts w:ascii="Garamond" w:eastAsia="Calibri" w:hAnsi="Garamond"/>
          <w:sz w:val="22"/>
          <w:szCs w:val="22"/>
        </w:rPr>
      </w:pPr>
      <w:r w:rsidRPr="00FD7602">
        <w:rPr>
          <w:rFonts w:ascii="Garamond" w:hAnsi="Garamond"/>
          <w:sz w:val="22"/>
          <w:szCs w:val="22"/>
        </w:rPr>
        <w:t xml:space="preserve">Mercado laboral: Para abril de 2026, la tasa de desocupación nacional fue 8,8% y la tasa global de participación fue 64,7%. Aunque el mercado laboral muestra estabilidad, el proyecto requiere </w:t>
      </w:r>
      <w:r w:rsidRPr="00FD7602">
        <w:rPr>
          <w:rFonts w:ascii="Garamond" w:hAnsi="Garamond"/>
          <w:sz w:val="22"/>
          <w:szCs w:val="22"/>
        </w:rPr>
        <w:lastRenderedPageBreak/>
        <w:t>talento humano con experiencia específica en trabajo comunitario, enfoque étnico diferencial, logística, pedagogía cultural, medicina ancestral y articulación con autoridades indígenas.</w:t>
      </w:r>
    </w:p>
    <w:p w14:paraId="25656C0F" w14:textId="77777777" w:rsidR="001E2D25" w:rsidRPr="00FD7602" w:rsidRDefault="001E2D25" w:rsidP="001E2D25">
      <w:pPr>
        <w:tabs>
          <w:tab w:val="left" w:pos="142"/>
          <w:tab w:val="left" w:pos="567"/>
          <w:tab w:val="left" w:pos="8789"/>
        </w:tabs>
        <w:ind w:right="49"/>
        <w:jc w:val="both"/>
        <w:rPr>
          <w:rFonts w:ascii="Garamond" w:eastAsia="Calibri" w:hAnsi="Garamond"/>
          <w:sz w:val="22"/>
          <w:szCs w:val="22"/>
        </w:rPr>
      </w:pPr>
    </w:p>
    <w:p w14:paraId="6D044E95" w14:textId="77777777" w:rsidR="00275340" w:rsidRPr="00FD7602" w:rsidRDefault="00275340" w:rsidP="00C46EDC">
      <w:pPr>
        <w:tabs>
          <w:tab w:val="left" w:pos="142"/>
          <w:tab w:val="left" w:pos="567"/>
          <w:tab w:val="left" w:pos="8789"/>
        </w:tabs>
        <w:ind w:right="49"/>
        <w:jc w:val="both"/>
        <w:rPr>
          <w:rFonts w:ascii="Garamond" w:eastAsia="Calibri" w:hAnsi="Garamond"/>
          <w:b/>
          <w:bCs/>
          <w:sz w:val="22"/>
          <w:szCs w:val="22"/>
        </w:rPr>
      </w:pPr>
    </w:p>
    <w:p w14:paraId="5947937A" w14:textId="3D12DE1B" w:rsidR="00B36B89" w:rsidRPr="00FD7602" w:rsidRDefault="00D057BA"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ENCUESTA ME</w:t>
      </w:r>
      <w:r w:rsidR="009A285A" w:rsidRPr="00FD7602">
        <w:rPr>
          <w:rFonts w:ascii="Garamond" w:eastAsia="Calibri" w:hAnsi="Garamond"/>
          <w:b/>
          <w:bCs/>
          <w:sz w:val="22"/>
          <w:szCs w:val="22"/>
        </w:rPr>
        <w:t>NS</w:t>
      </w:r>
      <w:r w:rsidRPr="00FD7602">
        <w:rPr>
          <w:rFonts w:ascii="Garamond" w:eastAsia="Calibri" w:hAnsi="Garamond"/>
          <w:b/>
          <w:bCs/>
          <w:sz w:val="22"/>
          <w:szCs w:val="22"/>
        </w:rPr>
        <w:t xml:space="preserve">UAL </w:t>
      </w:r>
      <w:r w:rsidR="00B36B89" w:rsidRPr="00FD7602">
        <w:rPr>
          <w:rFonts w:ascii="Garamond" w:eastAsia="Calibri" w:hAnsi="Garamond"/>
          <w:b/>
          <w:bCs/>
          <w:sz w:val="22"/>
          <w:szCs w:val="22"/>
        </w:rPr>
        <w:t>DE SERVICIOS:</w:t>
      </w:r>
    </w:p>
    <w:p w14:paraId="29F19826" w14:textId="77777777" w:rsidR="00B36B89" w:rsidRPr="00FD7602" w:rsidRDefault="00B36B89" w:rsidP="00AE7FD8">
      <w:pPr>
        <w:tabs>
          <w:tab w:val="left" w:pos="142"/>
          <w:tab w:val="left" w:pos="567"/>
          <w:tab w:val="left" w:pos="8789"/>
        </w:tabs>
        <w:ind w:right="49"/>
        <w:contextualSpacing/>
        <w:jc w:val="both"/>
        <w:rPr>
          <w:rFonts w:ascii="Garamond" w:hAnsi="Garamond"/>
          <w:b/>
          <w:bCs/>
          <w:sz w:val="22"/>
          <w:szCs w:val="22"/>
        </w:rPr>
      </w:pPr>
    </w:p>
    <w:p w14:paraId="3466A1B4" w14:textId="77777777" w:rsidR="00D15A60" w:rsidRPr="00FD7602" w:rsidRDefault="00D15A60" w:rsidP="00D15A60">
      <w:pPr>
        <w:tabs>
          <w:tab w:val="left" w:pos="142"/>
          <w:tab w:val="left" w:pos="567"/>
          <w:tab w:val="left" w:pos="8789"/>
        </w:tabs>
        <w:ind w:right="49"/>
        <w:contextualSpacing/>
        <w:jc w:val="both"/>
        <w:rPr>
          <w:rFonts w:ascii="Garamond" w:hAnsi="Garamond"/>
          <w:sz w:val="22"/>
          <w:szCs w:val="22"/>
        </w:rPr>
      </w:pPr>
      <w:r w:rsidRPr="00FD7602">
        <w:rPr>
          <w:rFonts w:ascii="Garamond" w:hAnsi="Garamond"/>
          <w:sz w:val="22"/>
          <w:szCs w:val="22"/>
        </w:rPr>
        <w:t>Según el DANE, en abril de 2026 quince de los dieciocho subsectores de servicios presentaron variación positiva en los ingresos totales frente a abril de 2025; no obstante, dieciséis de los dieciocho subsectores registraron variación negativa en el personal ocupado total. Esta información sugiere que el sector servicios mantiene dinamismo en ingresos, pero con posibles restricciones de personal disponible, lo cual debe valorarse en la programación de actividades.</w:t>
      </w:r>
    </w:p>
    <w:p w14:paraId="60563D32" w14:textId="77777777" w:rsidR="00D15A60" w:rsidRPr="00FD7602" w:rsidRDefault="00D15A60" w:rsidP="00D15A60">
      <w:pPr>
        <w:tabs>
          <w:tab w:val="left" w:pos="142"/>
          <w:tab w:val="left" w:pos="567"/>
          <w:tab w:val="left" w:pos="8789"/>
        </w:tabs>
        <w:ind w:right="49"/>
        <w:contextualSpacing/>
        <w:jc w:val="both"/>
        <w:rPr>
          <w:rFonts w:ascii="Garamond" w:hAnsi="Garamond"/>
          <w:noProof/>
          <w:sz w:val="22"/>
          <w:szCs w:val="22"/>
          <w:highlight w:val="yellow"/>
        </w:rPr>
      </w:pPr>
    </w:p>
    <w:p w14:paraId="677699F4" w14:textId="2A341EB1" w:rsidR="00D15A60" w:rsidRPr="00FD7602" w:rsidRDefault="001E2D25" w:rsidP="00D15A60">
      <w:pPr>
        <w:tabs>
          <w:tab w:val="left" w:pos="142"/>
          <w:tab w:val="left" w:pos="567"/>
          <w:tab w:val="left" w:pos="8789"/>
        </w:tabs>
        <w:ind w:right="49"/>
        <w:contextualSpacing/>
        <w:jc w:val="center"/>
        <w:rPr>
          <w:rFonts w:ascii="Garamond" w:hAnsi="Garamond"/>
          <w:sz w:val="22"/>
          <w:szCs w:val="22"/>
          <w:highlight w:val="yellow"/>
        </w:rPr>
      </w:pPr>
      <w:r w:rsidRPr="00FD7602">
        <w:rPr>
          <w:rFonts w:ascii="Garamond" w:hAnsi="Garamond"/>
          <w:noProof/>
          <w:sz w:val="22"/>
          <w:szCs w:val="22"/>
        </w:rPr>
        <w:drawing>
          <wp:inline distT="0" distB="0" distL="0" distR="0" wp14:anchorId="2C8A39DA" wp14:editId="58B8F1BD">
            <wp:extent cx="5612130" cy="5047615"/>
            <wp:effectExtent l="19050" t="19050" r="26670" b="19685"/>
            <wp:docPr id="1691123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23510" name=""/>
                    <pic:cNvPicPr/>
                  </pic:nvPicPr>
                  <pic:blipFill>
                    <a:blip r:embed="rId14"/>
                    <a:stretch>
                      <a:fillRect/>
                    </a:stretch>
                  </pic:blipFill>
                  <pic:spPr>
                    <a:xfrm>
                      <a:off x="0" y="0"/>
                      <a:ext cx="5612130" cy="5047615"/>
                    </a:xfrm>
                    <a:prstGeom prst="rect">
                      <a:avLst/>
                    </a:prstGeom>
                    <a:ln>
                      <a:solidFill>
                        <a:schemeClr val="tx1"/>
                      </a:solidFill>
                    </a:ln>
                  </pic:spPr>
                </pic:pic>
              </a:graphicData>
            </a:graphic>
          </wp:inline>
        </w:drawing>
      </w:r>
    </w:p>
    <w:p w14:paraId="4BFD09F8" w14:textId="77777777" w:rsidR="00D15A60" w:rsidRPr="00FD7602" w:rsidRDefault="00D15A60" w:rsidP="00D15A60">
      <w:pPr>
        <w:tabs>
          <w:tab w:val="left" w:pos="142"/>
          <w:tab w:val="left" w:pos="567"/>
          <w:tab w:val="left" w:pos="8789"/>
        </w:tabs>
        <w:ind w:right="49"/>
        <w:contextualSpacing/>
        <w:jc w:val="center"/>
        <w:rPr>
          <w:rFonts w:ascii="Garamond" w:hAnsi="Garamond"/>
          <w:sz w:val="22"/>
          <w:szCs w:val="22"/>
          <w:highlight w:val="yellow"/>
        </w:rPr>
      </w:pPr>
    </w:p>
    <w:p w14:paraId="45745140" w14:textId="77777777" w:rsidR="00D15A60" w:rsidRPr="00FD7602" w:rsidRDefault="00D15A60" w:rsidP="00D15A60">
      <w:pPr>
        <w:tabs>
          <w:tab w:val="left" w:pos="142"/>
          <w:tab w:val="left" w:pos="567"/>
          <w:tab w:val="left" w:pos="8789"/>
        </w:tabs>
        <w:ind w:right="49"/>
        <w:contextualSpacing/>
        <w:jc w:val="center"/>
        <w:rPr>
          <w:rFonts w:ascii="Garamond" w:hAnsi="Garamond"/>
          <w:sz w:val="22"/>
          <w:szCs w:val="22"/>
          <w:highlight w:val="yellow"/>
        </w:rPr>
      </w:pPr>
      <w:r w:rsidRPr="00FD7602">
        <w:rPr>
          <w:rFonts w:ascii="Garamond" w:hAnsi="Garamond"/>
          <w:sz w:val="22"/>
          <w:szCs w:val="22"/>
        </w:rPr>
        <w:t>Fuente: DANE – Encuesta Mensual de Servicios (EMS), información abril de 2026, publicada el 16 de junio de 2026.</w:t>
      </w:r>
    </w:p>
    <w:p w14:paraId="1A5DDC25" w14:textId="77777777" w:rsidR="00D15A60" w:rsidRPr="00FD7602" w:rsidRDefault="00D15A60" w:rsidP="00D15A60">
      <w:pPr>
        <w:tabs>
          <w:tab w:val="left" w:pos="142"/>
          <w:tab w:val="left" w:pos="567"/>
          <w:tab w:val="left" w:pos="8789"/>
        </w:tabs>
        <w:ind w:right="49"/>
        <w:contextualSpacing/>
        <w:jc w:val="center"/>
        <w:rPr>
          <w:rFonts w:ascii="Garamond" w:hAnsi="Garamond"/>
          <w:sz w:val="22"/>
          <w:szCs w:val="22"/>
          <w:highlight w:val="yellow"/>
        </w:rPr>
      </w:pPr>
    </w:p>
    <w:p w14:paraId="1DD32D64" w14:textId="77777777" w:rsidR="00D15A60" w:rsidRPr="00FD7602" w:rsidRDefault="00D15A60" w:rsidP="00D15A60">
      <w:pPr>
        <w:tabs>
          <w:tab w:val="left" w:pos="142"/>
          <w:tab w:val="left" w:pos="567"/>
          <w:tab w:val="left" w:pos="8789"/>
        </w:tabs>
        <w:ind w:right="49"/>
        <w:contextualSpacing/>
        <w:rPr>
          <w:rFonts w:ascii="Garamond" w:hAnsi="Garamond"/>
          <w:sz w:val="22"/>
          <w:szCs w:val="22"/>
          <w:highlight w:val="yellow"/>
        </w:rPr>
      </w:pPr>
    </w:p>
    <w:p w14:paraId="498126C6" w14:textId="77777777" w:rsidR="00D15A60" w:rsidRPr="00FD7602" w:rsidRDefault="00D15A60" w:rsidP="00D15A60">
      <w:pPr>
        <w:pStyle w:val="Prrafodelista"/>
        <w:numPr>
          <w:ilvl w:val="0"/>
          <w:numId w:val="11"/>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Variación anual de los ingresos nominales y contribución por tipo de ingresos, según subsector de servicios (marzo 2025 / marzo 2024)</w:t>
      </w:r>
    </w:p>
    <w:p w14:paraId="7AB964C6" w14:textId="77777777" w:rsidR="00D15A60" w:rsidRPr="00FD7602" w:rsidRDefault="00D15A60" w:rsidP="00D15A60">
      <w:pPr>
        <w:tabs>
          <w:tab w:val="left" w:pos="142"/>
          <w:tab w:val="left" w:pos="567"/>
          <w:tab w:val="left" w:pos="8789"/>
        </w:tabs>
        <w:ind w:right="49"/>
        <w:contextualSpacing/>
        <w:jc w:val="center"/>
        <w:rPr>
          <w:rFonts w:ascii="Garamond" w:hAnsi="Garamond"/>
          <w:b/>
          <w:bCs/>
          <w:sz w:val="22"/>
          <w:szCs w:val="22"/>
          <w:highlight w:val="yellow"/>
        </w:rPr>
      </w:pPr>
    </w:p>
    <w:p w14:paraId="355C00E2" w14:textId="77777777" w:rsidR="00D15A60" w:rsidRPr="00FD7602" w:rsidRDefault="00D15A60" w:rsidP="00D15A60">
      <w:pPr>
        <w:tabs>
          <w:tab w:val="left" w:pos="142"/>
          <w:tab w:val="left" w:pos="567"/>
          <w:tab w:val="left" w:pos="8789"/>
        </w:tabs>
        <w:ind w:right="49"/>
        <w:contextualSpacing/>
        <w:jc w:val="both"/>
        <w:rPr>
          <w:rFonts w:ascii="Garamond" w:hAnsi="Garamond"/>
          <w:b/>
          <w:bCs/>
          <w:sz w:val="22"/>
          <w:szCs w:val="22"/>
          <w:highlight w:val="yellow"/>
        </w:rPr>
      </w:pPr>
    </w:p>
    <w:p w14:paraId="259AA8CF" w14:textId="77777777" w:rsidR="00B36B89" w:rsidRPr="00FD7602" w:rsidRDefault="00B36B89" w:rsidP="00A57B30">
      <w:pPr>
        <w:numPr>
          <w:ilvl w:val="1"/>
          <w:numId w:val="39"/>
        </w:numPr>
        <w:tabs>
          <w:tab w:val="left" w:pos="142"/>
          <w:tab w:val="left" w:pos="567"/>
          <w:tab w:val="left" w:pos="8789"/>
        </w:tabs>
        <w:ind w:right="49"/>
        <w:contextualSpacing/>
        <w:jc w:val="both"/>
        <w:rPr>
          <w:rFonts w:ascii="Garamond" w:hAnsi="Garamond"/>
          <w:b/>
          <w:bCs/>
          <w:sz w:val="22"/>
          <w:szCs w:val="22"/>
        </w:rPr>
      </w:pPr>
      <w:r w:rsidRPr="00FD7602">
        <w:rPr>
          <w:rFonts w:ascii="Garamond" w:hAnsi="Garamond"/>
          <w:b/>
          <w:bCs/>
          <w:sz w:val="22"/>
          <w:szCs w:val="22"/>
        </w:rPr>
        <w:t>FACTOR VARIACIÓN DEL SMMLV:</w:t>
      </w:r>
      <w:bookmarkEnd w:id="3"/>
    </w:p>
    <w:p w14:paraId="394AC459" w14:textId="77777777" w:rsidR="00B36B89" w:rsidRPr="00FD7602" w:rsidRDefault="00B36B89" w:rsidP="00AE7FD8">
      <w:pPr>
        <w:tabs>
          <w:tab w:val="left" w:pos="142"/>
          <w:tab w:val="left" w:pos="567"/>
          <w:tab w:val="left" w:pos="8789"/>
        </w:tabs>
        <w:ind w:right="49"/>
        <w:contextualSpacing/>
        <w:jc w:val="both"/>
        <w:rPr>
          <w:rFonts w:ascii="Garamond" w:hAnsi="Garamond"/>
          <w:sz w:val="22"/>
          <w:szCs w:val="22"/>
        </w:rPr>
      </w:pPr>
    </w:p>
    <w:p w14:paraId="045B5830" w14:textId="77777777" w:rsidR="00D15A60" w:rsidRPr="00FD7602" w:rsidRDefault="00D15A60" w:rsidP="00D15A60">
      <w:pPr>
        <w:jc w:val="both"/>
        <w:rPr>
          <w:rFonts w:ascii="Garamond" w:eastAsia="Calibri" w:hAnsi="Garamond"/>
          <w:sz w:val="22"/>
          <w:szCs w:val="22"/>
        </w:rPr>
      </w:pPr>
      <w:r w:rsidRPr="00FD7602">
        <w:rPr>
          <w:rFonts w:ascii="Garamond" w:hAnsi="Garamond"/>
          <w:sz w:val="22"/>
          <w:szCs w:val="22"/>
        </w:rPr>
        <w:t>El salario mínimo legal mensual vigente para 2026 fue fijado en $1.750.905 mediante el Decreto 1469 de 2025, y el auxilio de transporte para 2026 fue fijado en $249.095 mediante el Decreto 1470 de 2025; en conjunto, el valor mensual de referencia asciende a $2.000.000. Este incremento debe ser considerado en los costos de talento humano, personal logístico, apoyos administrativos, coordinadores, talleristas y demás perfiles requeridos para la ejecución.</w:t>
      </w:r>
    </w:p>
    <w:p w14:paraId="3F52D259" w14:textId="77777777" w:rsidR="00D15A60" w:rsidRPr="00FD7602" w:rsidRDefault="00D15A60" w:rsidP="00D15A60">
      <w:pPr>
        <w:jc w:val="both"/>
        <w:rPr>
          <w:rFonts w:ascii="Garamond" w:eastAsia="Calibri" w:hAnsi="Garamond"/>
          <w:sz w:val="22"/>
          <w:szCs w:val="22"/>
        </w:rPr>
      </w:pPr>
    </w:p>
    <w:p w14:paraId="675C80EA" w14:textId="77777777" w:rsidR="00D15A60" w:rsidRPr="00FD7602" w:rsidRDefault="00D15A60" w:rsidP="00D15A60">
      <w:pPr>
        <w:jc w:val="both"/>
        <w:rPr>
          <w:rFonts w:ascii="Garamond" w:eastAsia="Calibri" w:hAnsi="Garamond"/>
          <w:sz w:val="22"/>
          <w:szCs w:val="22"/>
        </w:rPr>
      </w:pPr>
      <w:r w:rsidRPr="00FD7602">
        <w:rPr>
          <w:rFonts w:ascii="Garamond" w:hAnsi="Garamond"/>
          <w:sz w:val="22"/>
          <w:szCs w:val="22"/>
        </w:rPr>
        <w:t>Para el año 2026, los costos laborales asociados al personal requerido deben contemplar el SMMLV, auxilio de transporte, prestaciones sociales, seguridad social, aportes parafiscales cuando correspondan, y demás obligaciones laborales o contractuales aplicables según la naturaleza del vínculo.</w:t>
      </w:r>
    </w:p>
    <w:p w14:paraId="62CA7004" w14:textId="77777777" w:rsidR="00D15A60" w:rsidRPr="00FD7602" w:rsidRDefault="00D15A60" w:rsidP="00D15A60">
      <w:pPr>
        <w:jc w:val="both"/>
        <w:rPr>
          <w:rFonts w:ascii="Garamond" w:eastAsia="Calibri" w:hAnsi="Garamond"/>
          <w:sz w:val="22"/>
          <w:szCs w:val="22"/>
        </w:rPr>
      </w:pPr>
    </w:p>
    <w:p w14:paraId="0B382F95" w14:textId="77777777" w:rsidR="00D15A60" w:rsidRPr="00FD7602" w:rsidRDefault="00D15A60" w:rsidP="00D15A60">
      <w:pPr>
        <w:jc w:val="both"/>
        <w:rPr>
          <w:rFonts w:ascii="Garamond" w:eastAsia="Calibri" w:hAnsi="Garamond"/>
          <w:sz w:val="22"/>
          <w:szCs w:val="22"/>
        </w:rPr>
      </w:pPr>
    </w:p>
    <w:p w14:paraId="058630B6" w14:textId="77777777" w:rsidR="00D15A60" w:rsidRPr="00FD7602" w:rsidRDefault="00D15A60" w:rsidP="00D15A60">
      <w:pPr>
        <w:jc w:val="both"/>
        <w:rPr>
          <w:rFonts w:ascii="Garamond" w:eastAsia="Calibri" w:hAnsi="Garamond"/>
          <w:sz w:val="22"/>
          <w:szCs w:val="22"/>
        </w:rPr>
      </w:pPr>
      <w:r w:rsidRPr="00FD7602">
        <w:rPr>
          <w:rFonts w:ascii="Garamond" w:hAnsi="Garamond"/>
          <w:sz w:val="22"/>
          <w:szCs w:val="22"/>
        </w:rPr>
        <w:t>En 2026, el comportamiento de los salarios dentro del sector servicios debe analizarse en conjunto con el incremento del salario mínimo, la disponibilidad de perfiles especializados y los requerimientos de pertinencia cultural del proyecto.</w:t>
      </w:r>
    </w:p>
    <w:p w14:paraId="218CE552" w14:textId="77777777" w:rsidR="00D15A60" w:rsidRPr="00FD7602" w:rsidRDefault="00D15A60" w:rsidP="001E2D25">
      <w:pPr>
        <w:rPr>
          <w:rFonts w:ascii="Garamond" w:eastAsia="Calibri" w:hAnsi="Garamond"/>
          <w:sz w:val="22"/>
          <w:szCs w:val="22"/>
        </w:rPr>
      </w:pPr>
    </w:p>
    <w:p w14:paraId="35464472" w14:textId="77777777" w:rsidR="00D15A60" w:rsidRPr="00FD7602" w:rsidRDefault="00D15A60" w:rsidP="00D15A60">
      <w:pPr>
        <w:jc w:val="center"/>
        <w:rPr>
          <w:rFonts w:ascii="Garamond" w:eastAsia="Calibri" w:hAnsi="Garamond"/>
          <w:sz w:val="22"/>
          <w:szCs w:val="22"/>
        </w:rPr>
      </w:pPr>
      <w:r w:rsidRPr="00FD7602">
        <w:rPr>
          <w:rFonts w:ascii="Garamond" w:hAnsi="Garamond"/>
          <w:sz w:val="22"/>
          <w:szCs w:val="22"/>
        </w:rPr>
        <w:t>Fuentes: SUIN-Juriscol, Decreto 1469 de 2025 y Decreto 1470 de 2025; DANE – Encuesta Mensual de Servicios 2026.</w:t>
      </w:r>
    </w:p>
    <w:p w14:paraId="63BC9218" w14:textId="77777777" w:rsidR="00D15A60" w:rsidRPr="00FD7602" w:rsidRDefault="00D15A60" w:rsidP="00D15A60">
      <w:pPr>
        <w:jc w:val="both"/>
        <w:rPr>
          <w:rFonts w:ascii="Garamond" w:eastAsia="Calibri" w:hAnsi="Garamond"/>
          <w:sz w:val="22"/>
          <w:szCs w:val="22"/>
        </w:rPr>
      </w:pPr>
    </w:p>
    <w:p w14:paraId="543D83E6" w14:textId="77777777" w:rsidR="00D15A60" w:rsidRPr="00FD7602" w:rsidRDefault="00D15A60" w:rsidP="00D15A60">
      <w:pPr>
        <w:jc w:val="both"/>
        <w:rPr>
          <w:rFonts w:ascii="Garamond" w:eastAsia="Calibri" w:hAnsi="Garamond"/>
          <w:sz w:val="22"/>
          <w:szCs w:val="22"/>
        </w:rPr>
      </w:pPr>
      <w:r w:rsidRPr="00FD7602">
        <w:rPr>
          <w:rFonts w:ascii="Garamond" w:hAnsi="Garamond"/>
          <w:sz w:val="22"/>
          <w:szCs w:val="22"/>
        </w:rPr>
        <w:t xml:space="preserve">En lo corrido de 2026, la información sectorial disponible muestra que la mayoría de </w:t>
      </w:r>
      <w:proofErr w:type="gramStart"/>
      <w:r w:rsidRPr="00FD7602">
        <w:rPr>
          <w:rFonts w:ascii="Garamond" w:hAnsi="Garamond"/>
          <w:sz w:val="22"/>
          <w:szCs w:val="22"/>
        </w:rPr>
        <w:t>subsectores</w:t>
      </w:r>
      <w:proofErr w:type="gramEnd"/>
      <w:r w:rsidRPr="00FD7602">
        <w:rPr>
          <w:rFonts w:ascii="Garamond" w:hAnsi="Garamond"/>
          <w:sz w:val="22"/>
          <w:szCs w:val="22"/>
        </w:rPr>
        <w:t xml:space="preserve"> de servicios mantienen variación positiva en ingresos, aunque con retos en personal ocupado. Para el presente proceso, ello implica verificar la capacidad operativa del contratista, la disponibilidad de talento humano, el cronograma y la logística necesaria para cumplir las actividades concertadas.</w:t>
      </w:r>
    </w:p>
    <w:p w14:paraId="2080CB29" w14:textId="77777777" w:rsidR="001E2D25" w:rsidRPr="00FD7602" w:rsidRDefault="001E2D25" w:rsidP="009267EA">
      <w:pPr>
        <w:jc w:val="both"/>
        <w:rPr>
          <w:rFonts w:ascii="Garamond" w:eastAsia="Calibri" w:hAnsi="Garamond"/>
          <w:sz w:val="22"/>
          <w:szCs w:val="22"/>
        </w:rPr>
      </w:pPr>
    </w:p>
    <w:p w14:paraId="50324474" w14:textId="77777777" w:rsidR="001E2D25" w:rsidRPr="00FD7602" w:rsidRDefault="001E2D25" w:rsidP="009267EA">
      <w:pPr>
        <w:jc w:val="both"/>
        <w:rPr>
          <w:rFonts w:ascii="Garamond" w:eastAsia="Calibri" w:hAnsi="Garamond"/>
          <w:sz w:val="22"/>
          <w:szCs w:val="22"/>
        </w:rPr>
      </w:pPr>
    </w:p>
    <w:p w14:paraId="4FB6756F" w14:textId="77777777" w:rsidR="0013408A" w:rsidRPr="00FD7602" w:rsidRDefault="0013408A"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EMPLEO Y DESEMPLEO:</w:t>
      </w:r>
    </w:p>
    <w:p w14:paraId="25C41644" w14:textId="77777777" w:rsidR="0013408A" w:rsidRPr="00FD7602" w:rsidRDefault="0013408A" w:rsidP="0013408A">
      <w:pPr>
        <w:tabs>
          <w:tab w:val="left" w:pos="142"/>
          <w:tab w:val="left" w:pos="567"/>
          <w:tab w:val="left" w:pos="8789"/>
        </w:tabs>
        <w:ind w:left="360" w:right="49"/>
        <w:contextualSpacing/>
        <w:jc w:val="both"/>
        <w:rPr>
          <w:rFonts w:ascii="Garamond" w:eastAsia="Calibri" w:hAnsi="Garamond"/>
          <w:b/>
          <w:bCs/>
          <w:sz w:val="22"/>
          <w:szCs w:val="22"/>
          <w:highlight w:val="yellow"/>
        </w:rPr>
      </w:pPr>
    </w:p>
    <w:p w14:paraId="6E96FA9A" w14:textId="77777777" w:rsidR="005E5A46" w:rsidRPr="00FD7602" w:rsidRDefault="005E5A46" w:rsidP="00D15A60">
      <w:pPr>
        <w:tabs>
          <w:tab w:val="left" w:pos="142"/>
          <w:tab w:val="left" w:pos="567"/>
          <w:tab w:val="left" w:pos="8789"/>
        </w:tabs>
        <w:ind w:right="49"/>
        <w:contextualSpacing/>
        <w:jc w:val="both"/>
        <w:rPr>
          <w:rFonts w:ascii="Garamond" w:eastAsia="Calibri" w:hAnsi="Garamond"/>
          <w:sz w:val="22"/>
          <w:szCs w:val="22"/>
        </w:rPr>
      </w:pPr>
    </w:p>
    <w:p w14:paraId="3118E639" w14:textId="77777777" w:rsidR="005E5A46" w:rsidRPr="00FD7602" w:rsidRDefault="005E5A46" w:rsidP="005E5A46">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Para abril de 2026, la tasa de desocupación del total nacional fue 8,8%, cifra similar a la registrada en abril de 2025. La tasa global de participación se ubicó en 64,7%. Estos indicadores permiten concluir que, aunque hay estabilidad general, la especialidad del proceso demanda perfiles con conocimiento comunitario, cultural y logístico que no necesariamente se encuentran en el mercado laboral general.</w:t>
      </w:r>
    </w:p>
    <w:p w14:paraId="2344F159" w14:textId="77777777" w:rsidR="005E5A46" w:rsidRPr="00FD7602" w:rsidRDefault="005E5A46" w:rsidP="005E5A46">
      <w:pPr>
        <w:tabs>
          <w:tab w:val="left" w:pos="142"/>
          <w:tab w:val="left" w:pos="567"/>
          <w:tab w:val="left" w:pos="8789"/>
        </w:tabs>
        <w:ind w:right="49"/>
        <w:contextualSpacing/>
        <w:jc w:val="center"/>
        <w:rPr>
          <w:rFonts w:ascii="Garamond" w:eastAsia="Calibri" w:hAnsi="Garamond"/>
          <w:sz w:val="22"/>
          <w:szCs w:val="22"/>
        </w:rPr>
      </w:pPr>
    </w:p>
    <w:p w14:paraId="26EBB89A" w14:textId="77777777" w:rsidR="0048529F" w:rsidRPr="00FD7602" w:rsidRDefault="0048529F" w:rsidP="0048529F">
      <w:pPr>
        <w:pStyle w:val="Estudio"/>
        <w:rPr>
          <w:rFonts w:cs="Times New Roman"/>
          <w:sz w:val="22"/>
          <w:szCs w:val="22"/>
          <w:highlight w:val="yellow"/>
        </w:rPr>
      </w:pPr>
    </w:p>
    <w:p w14:paraId="3C15BA8C" w14:textId="77777777" w:rsidR="0048529F" w:rsidRPr="00FD7602" w:rsidRDefault="0048529F" w:rsidP="0048529F">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POBLACIÓN OCUPADA SEGÚN RAMA DE ACTIVIDAD:</w:t>
      </w:r>
    </w:p>
    <w:p w14:paraId="28A25518" w14:textId="77777777" w:rsidR="005E5A46" w:rsidRPr="00FD7602" w:rsidRDefault="005E5A46" w:rsidP="005E5A46">
      <w:pPr>
        <w:tabs>
          <w:tab w:val="left" w:pos="142"/>
          <w:tab w:val="left" w:pos="567"/>
          <w:tab w:val="left" w:pos="8789"/>
        </w:tabs>
        <w:ind w:right="49"/>
        <w:contextualSpacing/>
        <w:jc w:val="both"/>
        <w:rPr>
          <w:rFonts w:ascii="Garamond" w:eastAsia="Calibri" w:hAnsi="Garamond"/>
          <w:sz w:val="22"/>
          <w:szCs w:val="22"/>
        </w:rPr>
      </w:pPr>
    </w:p>
    <w:p w14:paraId="76A73116" w14:textId="77777777" w:rsidR="005E5A46" w:rsidRPr="00FD7602" w:rsidRDefault="005E5A46" w:rsidP="005E5A46">
      <w:pPr>
        <w:tabs>
          <w:tab w:val="left" w:pos="142"/>
          <w:tab w:val="left" w:pos="567"/>
          <w:tab w:val="left" w:pos="8789"/>
        </w:tabs>
        <w:ind w:right="49"/>
        <w:contextualSpacing/>
        <w:jc w:val="both"/>
        <w:rPr>
          <w:rFonts w:ascii="Garamond" w:eastAsia="Calibri" w:hAnsi="Garamond"/>
          <w:sz w:val="22"/>
          <w:szCs w:val="22"/>
        </w:rPr>
      </w:pPr>
      <w:r w:rsidRPr="00FD7602">
        <w:rPr>
          <w:rFonts w:ascii="Garamond" w:hAnsi="Garamond"/>
          <w:sz w:val="22"/>
          <w:szCs w:val="22"/>
        </w:rPr>
        <w:t>En abril de 2026, la dinámica del empleo debe leerse junto con la evolución del sector servicios y el incremento de costos laborales. Para el presente proceso, la población ocupada en ramas relacionadas con servicios, actividades artísticas, educación, logística y apoyo comunitario constituye referencia indirecta para identificar disponibilidad de talento humano y costos de ejecución.</w:t>
      </w:r>
    </w:p>
    <w:p w14:paraId="6677E57C" w14:textId="77777777" w:rsidR="00D15A60" w:rsidRPr="00FD7602" w:rsidRDefault="00D15A60" w:rsidP="00D15A60">
      <w:pPr>
        <w:pStyle w:val="Estudio"/>
        <w:rPr>
          <w:rFonts w:cs="Times New Roman"/>
          <w:bCs w:val="0"/>
          <w:kern w:val="0"/>
          <w:sz w:val="22"/>
          <w:szCs w:val="22"/>
          <w:lang w:eastAsia="es-MX"/>
        </w:rPr>
      </w:pPr>
    </w:p>
    <w:p w14:paraId="20ABBBD6" w14:textId="77777777" w:rsidR="0013408A" w:rsidRPr="00FD7602" w:rsidRDefault="0013408A" w:rsidP="0013408A">
      <w:pPr>
        <w:tabs>
          <w:tab w:val="left" w:pos="142"/>
          <w:tab w:val="left" w:pos="567"/>
          <w:tab w:val="left" w:pos="8789"/>
        </w:tabs>
        <w:ind w:right="49"/>
        <w:contextualSpacing/>
        <w:jc w:val="both"/>
        <w:rPr>
          <w:rFonts w:ascii="Garamond" w:eastAsia="Calibri" w:hAnsi="Garamond"/>
          <w:b/>
          <w:bCs/>
          <w:sz w:val="22"/>
          <w:szCs w:val="22"/>
        </w:rPr>
      </w:pPr>
    </w:p>
    <w:p w14:paraId="7751C8E5" w14:textId="77777777" w:rsidR="002E4595" w:rsidRPr="00FD7602" w:rsidRDefault="002E4595" w:rsidP="00A57B30">
      <w:pPr>
        <w:pStyle w:val="Prrafodelista"/>
        <w:numPr>
          <w:ilvl w:val="1"/>
          <w:numId w:val="39"/>
        </w:numPr>
        <w:tabs>
          <w:tab w:val="left" w:pos="142"/>
          <w:tab w:val="left" w:pos="567"/>
          <w:tab w:val="left" w:pos="8789"/>
        </w:tabs>
        <w:ind w:right="49"/>
        <w:jc w:val="both"/>
        <w:rPr>
          <w:rFonts w:ascii="Garamond" w:eastAsia="Calibri" w:hAnsi="Garamond"/>
          <w:b/>
          <w:bCs/>
          <w:sz w:val="22"/>
          <w:szCs w:val="22"/>
        </w:rPr>
      </w:pPr>
      <w:r w:rsidRPr="00FD7602">
        <w:rPr>
          <w:rFonts w:ascii="Garamond" w:eastAsia="Calibri" w:hAnsi="Garamond"/>
          <w:b/>
          <w:bCs/>
          <w:sz w:val="22"/>
          <w:szCs w:val="22"/>
        </w:rPr>
        <w:t>POLÍTICA MONETARIA EN COLOMBIA:</w:t>
      </w:r>
    </w:p>
    <w:p w14:paraId="1794F653" w14:textId="77777777" w:rsidR="00897BAC" w:rsidRPr="00FD7602" w:rsidRDefault="00897BAC" w:rsidP="00897BAC">
      <w:pPr>
        <w:tabs>
          <w:tab w:val="left" w:pos="142"/>
          <w:tab w:val="left" w:pos="567"/>
          <w:tab w:val="left" w:pos="8789"/>
        </w:tabs>
        <w:ind w:right="49"/>
        <w:jc w:val="both"/>
        <w:rPr>
          <w:rFonts w:ascii="Garamond" w:eastAsia="Calibri" w:hAnsi="Garamond"/>
          <w:b/>
          <w:bCs/>
          <w:sz w:val="22"/>
          <w:szCs w:val="22"/>
        </w:rPr>
      </w:pPr>
    </w:p>
    <w:p w14:paraId="48BA8ED1" w14:textId="77777777" w:rsidR="00D15A60" w:rsidRPr="00FD7602" w:rsidRDefault="00D15A60" w:rsidP="00D15A60">
      <w:pPr>
        <w:tabs>
          <w:tab w:val="left" w:pos="142"/>
          <w:tab w:val="left" w:pos="567"/>
          <w:tab w:val="left" w:pos="8789"/>
        </w:tabs>
        <w:ind w:right="49"/>
        <w:jc w:val="both"/>
        <w:rPr>
          <w:rFonts w:ascii="Garamond" w:hAnsi="Garamond"/>
          <w:sz w:val="22"/>
          <w:szCs w:val="22"/>
        </w:rPr>
      </w:pPr>
      <w:r w:rsidRPr="00FD7602">
        <w:rPr>
          <w:rFonts w:ascii="Garamond" w:hAnsi="Garamond"/>
          <w:sz w:val="22"/>
          <w:szCs w:val="22"/>
        </w:rPr>
        <w:t>La política monetaria en Colombia durante 2026 continúa condicionada por una inflación superior a la meta de largo plazo y por la necesidad de preservar la estabilidad macroeconómica. Este contexto puede incidir en costos financieros, acceso a crédito, liquidez de proveedores y capacidad de anticipar recursos para actividades logísticas y comunitarias.</w:t>
      </w:r>
    </w:p>
    <w:p w14:paraId="3805B866" w14:textId="77777777" w:rsidR="00D15A60" w:rsidRPr="00FD7602" w:rsidRDefault="00D15A60" w:rsidP="00D15A60">
      <w:pPr>
        <w:pStyle w:val="Standard"/>
        <w:jc w:val="both"/>
        <w:rPr>
          <w:rFonts w:ascii="Garamond" w:hAnsi="Garamond"/>
          <w:sz w:val="22"/>
          <w:szCs w:val="22"/>
        </w:rPr>
      </w:pPr>
    </w:p>
    <w:p w14:paraId="4E7FFE0A" w14:textId="77777777" w:rsidR="00D15A60" w:rsidRPr="00FD7602" w:rsidRDefault="00D15A60" w:rsidP="00D15A60">
      <w:pPr>
        <w:pStyle w:val="Standard"/>
        <w:jc w:val="both"/>
        <w:rPr>
          <w:rFonts w:ascii="Garamond" w:hAnsi="Garamond"/>
          <w:sz w:val="22"/>
          <w:szCs w:val="22"/>
        </w:rPr>
      </w:pPr>
      <w:r w:rsidRPr="00FD7602">
        <w:rPr>
          <w:rFonts w:ascii="Garamond" w:hAnsi="Garamond"/>
          <w:sz w:val="22"/>
          <w:szCs w:val="22"/>
        </w:rPr>
        <w:t>La inflación anual de mayo de 2026 se ubicó en 5,84%, por encima de la meta de inflación de largo plazo, razón por la cual la estructuración del proceso debe contemplar la posibilidad de variaciones en precios durante la ejecución contractual.</w:t>
      </w:r>
    </w:p>
    <w:p w14:paraId="1F41AF6F" w14:textId="77777777" w:rsidR="00D15A60" w:rsidRPr="00FD7602" w:rsidRDefault="00D15A60" w:rsidP="00D15A60">
      <w:pPr>
        <w:pStyle w:val="Standard"/>
        <w:jc w:val="both"/>
        <w:rPr>
          <w:rFonts w:ascii="Garamond" w:hAnsi="Garamond"/>
          <w:sz w:val="22"/>
          <w:szCs w:val="22"/>
        </w:rPr>
      </w:pPr>
    </w:p>
    <w:p w14:paraId="35F3FB15" w14:textId="77777777" w:rsidR="00D15A60" w:rsidRPr="00FD7602" w:rsidRDefault="00D15A60" w:rsidP="00D15A60">
      <w:pPr>
        <w:pStyle w:val="Standard"/>
        <w:jc w:val="both"/>
        <w:rPr>
          <w:rFonts w:ascii="Garamond" w:hAnsi="Garamond"/>
          <w:sz w:val="22"/>
          <w:szCs w:val="22"/>
        </w:rPr>
      </w:pPr>
      <w:r w:rsidRPr="00FD7602">
        <w:rPr>
          <w:rFonts w:ascii="Garamond" w:hAnsi="Garamond"/>
          <w:sz w:val="22"/>
          <w:szCs w:val="22"/>
        </w:rPr>
        <w:t>El desempeño económico del primer trimestre de 2026 fue de crecimiento moderado, con una variación anual del PIB de 2,2%, de acuerdo con el DANE. Este resultado respalda la necesidad de ajustar las proyecciones del estudio a la realidad económica de la vigencia 2026.</w:t>
      </w:r>
    </w:p>
    <w:p w14:paraId="6BF43296" w14:textId="77777777" w:rsidR="00D15A60" w:rsidRPr="00FD7602" w:rsidRDefault="00D15A60" w:rsidP="00D15A60">
      <w:pPr>
        <w:pStyle w:val="Standard"/>
        <w:jc w:val="both"/>
        <w:rPr>
          <w:rFonts w:ascii="Garamond" w:hAnsi="Garamond"/>
          <w:sz w:val="22"/>
          <w:szCs w:val="22"/>
        </w:rPr>
      </w:pPr>
    </w:p>
    <w:p w14:paraId="12459C28" w14:textId="77777777" w:rsidR="00D15A60" w:rsidRPr="00FD7602" w:rsidRDefault="00D15A60" w:rsidP="00D15A60">
      <w:pPr>
        <w:pStyle w:val="Standard"/>
        <w:jc w:val="both"/>
        <w:rPr>
          <w:rFonts w:ascii="Garamond" w:hAnsi="Garamond"/>
          <w:sz w:val="22"/>
          <w:szCs w:val="22"/>
        </w:rPr>
      </w:pPr>
      <w:r w:rsidRPr="00FD7602">
        <w:rPr>
          <w:rFonts w:ascii="Garamond" w:hAnsi="Garamond"/>
          <w:sz w:val="22"/>
          <w:szCs w:val="22"/>
        </w:rPr>
        <w:t>En el mercado laboral se observa estabilidad en la tasa de desocupación nacional, pero la ejecución del proyecto requiere perfiles específicos con experiencia en comunidades indígenas, enfoque diferencial, logística cultural, pedagogía y coordinación territorial.</w:t>
      </w:r>
    </w:p>
    <w:p w14:paraId="13846128" w14:textId="77777777" w:rsidR="00D15A60" w:rsidRPr="00FD7602" w:rsidRDefault="00D15A60" w:rsidP="00D15A60">
      <w:pPr>
        <w:pStyle w:val="Standard"/>
        <w:jc w:val="both"/>
        <w:rPr>
          <w:rFonts w:ascii="Garamond" w:hAnsi="Garamond"/>
          <w:sz w:val="22"/>
          <w:szCs w:val="22"/>
        </w:rPr>
      </w:pPr>
    </w:p>
    <w:p w14:paraId="588FFEF7" w14:textId="77777777" w:rsidR="00D15A60" w:rsidRPr="00FD7602" w:rsidRDefault="00D15A60" w:rsidP="00D15A60">
      <w:pPr>
        <w:pStyle w:val="Standard"/>
        <w:jc w:val="both"/>
        <w:rPr>
          <w:rFonts w:ascii="Garamond" w:hAnsi="Garamond"/>
          <w:sz w:val="22"/>
          <w:szCs w:val="22"/>
        </w:rPr>
      </w:pPr>
      <w:r w:rsidRPr="00FD7602">
        <w:rPr>
          <w:rFonts w:ascii="Garamond" w:hAnsi="Garamond"/>
          <w:sz w:val="22"/>
          <w:szCs w:val="22"/>
        </w:rPr>
        <w:t>Las condiciones de financiamiento y la incertidumbre externa pueden afectar costos de operación, transporte y servicios. Por ello, se recomienda que el análisis de costos se soporte en cotizaciones actualizadas, verificación de disponibilidad y revisión de precios de mercado.</w:t>
      </w:r>
    </w:p>
    <w:p w14:paraId="273535DB" w14:textId="77777777" w:rsidR="00D15A60" w:rsidRPr="00FD7602" w:rsidRDefault="00D15A60" w:rsidP="00D15A60">
      <w:pPr>
        <w:pStyle w:val="Standard"/>
        <w:jc w:val="both"/>
        <w:rPr>
          <w:rFonts w:ascii="Garamond" w:hAnsi="Garamond"/>
          <w:sz w:val="22"/>
          <w:szCs w:val="22"/>
        </w:rPr>
      </w:pPr>
    </w:p>
    <w:p w14:paraId="3F5FCA28" w14:textId="77777777" w:rsidR="00D15A60" w:rsidRPr="00FD7602" w:rsidRDefault="00D15A60" w:rsidP="00D15A60">
      <w:pPr>
        <w:pStyle w:val="Standard"/>
        <w:jc w:val="both"/>
        <w:rPr>
          <w:rFonts w:ascii="Garamond" w:hAnsi="Garamond"/>
          <w:sz w:val="22"/>
          <w:szCs w:val="22"/>
        </w:rPr>
      </w:pPr>
      <w:r w:rsidRPr="00FD7602">
        <w:rPr>
          <w:rFonts w:ascii="Garamond" w:hAnsi="Garamond"/>
          <w:sz w:val="22"/>
          <w:szCs w:val="22"/>
        </w:rPr>
        <w:t>Las proyecciones económicas para 2026 son moderadas: la OCDE estima un crecimiento de 2,4% para Colombia en 2026, mientras que el DANE reportó un crecimiento observado de 2,2% para el primer trimestre de 2026pr. En consecuencia, el proceso debe mantener criterios de eficiencia y control del gasto.</w:t>
      </w:r>
    </w:p>
    <w:p w14:paraId="58DB31D4" w14:textId="77777777" w:rsidR="00D15A60" w:rsidRPr="00FD7602" w:rsidRDefault="00D15A60" w:rsidP="00D15A60">
      <w:pPr>
        <w:pStyle w:val="Standard"/>
        <w:jc w:val="both"/>
        <w:rPr>
          <w:rFonts w:ascii="Garamond" w:hAnsi="Garamond"/>
          <w:sz w:val="22"/>
          <w:szCs w:val="22"/>
        </w:rPr>
      </w:pPr>
    </w:p>
    <w:p w14:paraId="6C136EED" w14:textId="77777777" w:rsidR="009152EA" w:rsidRPr="00FD7602" w:rsidRDefault="00D15A60" w:rsidP="00E077AA">
      <w:pPr>
        <w:tabs>
          <w:tab w:val="left" w:pos="142"/>
          <w:tab w:val="left" w:pos="567"/>
          <w:tab w:val="left" w:pos="8789"/>
        </w:tabs>
        <w:ind w:right="49"/>
        <w:jc w:val="both"/>
        <w:rPr>
          <w:rFonts w:ascii="Garamond" w:hAnsi="Garamond"/>
          <w:kern w:val="3"/>
          <w:sz w:val="22"/>
          <w:szCs w:val="22"/>
          <w:lang w:eastAsia="zh-CN"/>
        </w:rPr>
      </w:pPr>
      <w:r w:rsidRPr="00FD7602">
        <w:rPr>
          <w:rFonts w:ascii="Garamond" w:hAnsi="Garamond"/>
          <w:sz w:val="22"/>
          <w:szCs w:val="22"/>
        </w:rPr>
        <w:t>Finalmente, las proyecciones enfrentan incertidumbre por inflación, tasa de cambio, combustibles, costos laborales, condiciones logísticas y disponibilidad de proveedores especializados. Estos factores deberán ser objeto de seguimiento durante la ejecución contractual.</w:t>
      </w:r>
    </w:p>
    <w:p w14:paraId="40935CEE" w14:textId="77777777" w:rsidR="009152EA" w:rsidRPr="00FD7602" w:rsidRDefault="009152EA" w:rsidP="00E077AA">
      <w:pPr>
        <w:tabs>
          <w:tab w:val="left" w:pos="142"/>
          <w:tab w:val="left" w:pos="567"/>
          <w:tab w:val="left" w:pos="8789"/>
        </w:tabs>
        <w:ind w:right="49"/>
        <w:jc w:val="both"/>
        <w:rPr>
          <w:rFonts w:ascii="Garamond" w:eastAsia="Calibri" w:hAnsi="Garamond"/>
          <w:sz w:val="22"/>
          <w:szCs w:val="22"/>
        </w:rPr>
      </w:pPr>
    </w:p>
    <w:p w14:paraId="7060E06A" w14:textId="77777777" w:rsidR="009152EA" w:rsidRPr="00FD7602" w:rsidRDefault="009152EA" w:rsidP="00E077AA">
      <w:pPr>
        <w:tabs>
          <w:tab w:val="left" w:pos="142"/>
          <w:tab w:val="left" w:pos="567"/>
          <w:tab w:val="left" w:pos="8789"/>
        </w:tabs>
        <w:ind w:right="49"/>
        <w:jc w:val="both"/>
        <w:rPr>
          <w:rFonts w:ascii="Garamond" w:eastAsia="Calibri" w:hAnsi="Garamond"/>
          <w:sz w:val="22"/>
          <w:szCs w:val="22"/>
        </w:rPr>
      </w:pPr>
    </w:p>
    <w:p w14:paraId="4F8E2710" w14:textId="77777777" w:rsidR="00D91278" w:rsidRPr="00FD7602" w:rsidRDefault="00D91278" w:rsidP="00251355">
      <w:pPr>
        <w:pStyle w:val="Estilo1TituloEstudiodelsector"/>
        <w:rPr>
          <w:rFonts w:cs="Times New Roman"/>
          <w:sz w:val="22"/>
          <w:szCs w:val="22"/>
        </w:rPr>
      </w:pPr>
      <w:r w:rsidRPr="00FD7602">
        <w:rPr>
          <w:rFonts w:cs="Times New Roman"/>
          <w:spacing w:val="36"/>
          <w:sz w:val="22"/>
          <w:szCs w:val="22"/>
        </w:rPr>
        <w:t xml:space="preserve"> </w:t>
      </w:r>
      <w:r w:rsidR="00A57B30" w:rsidRPr="00FD7602">
        <w:rPr>
          <w:rFonts w:cs="Times New Roman"/>
          <w:spacing w:val="-1"/>
          <w:sz w:val="22"/>
          <w:szCs w:val="22"/>
        </w:rPr>
        <w:t>ESTUDIO DE LA OFERTA</w:t>
      </w:r>
    </w:p>
    <w:p w14:paraId="1B7D61AA" w14:textId="77777777" w:rsidR="00251355" w:rsidRPr="00FD7602" w:rsidRDefault="00251355" w:rsidP="00096E6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341869DC" w14:textId="77777777" w:rsidR="0048529F" w:rsidRPr="00FD7602" w:rsidRDefault="0048529F" w:rsidP="004852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Conforme a la Ley 2160 de 2021, el Decreto 1082 de 2015 y el marco especial aplicable a pueblos indígenas, la contratación directa con cabildos indígenas, asociaciones de autoridades tradicionales indígenas y organizaciones con capacidad jurídica resulta procedente cuando se acredite idoneidad, experiencia, capacidad organizativa y relación directa con el objeto contractual. Esta modalidad permite garantizar pertinencia cultural, participación efectiva y respeto por los sistemas propios de organización.</w:t>
      </w:r>
    </w:p>
    <w:p w14:paraId="27A1F21E" w14:textId="77777777" w:rsidR="0048529F" w:rsidRPr="00FD7602" w:rsidRDefault="0048529F" w:rsidP="004852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0AD23089" w14:textId="77777777" w:rsidR="0048529F" w:rsidRPr="00FD7602" w:rsidRDefault="0048529F" w:rsidP="004852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En este contexto, la Alcaldía Local de Ciudad Bolívar podrá adelantar la contratación directa con una autoridad u organización indígena idónea, de acuerdo con la verificación jurídica, técnica, financiera y documental que corresponda, y con base en las necesidades concertadas para la vigencia 2026.</w:t>
      </w:r>
    </w:p>
    <w:p w14:paraId="3C9C9DC2" w14:textId="77777777" w:rsidR="0048529F" w:rsidRPr="00FD7602" w:rsidRDefault="0048529F" w:rsidP="004852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5F5CF8D6" w14:textId="77777777" w:rsidR="0048529F" w:rsidRPr="00FD7602" w:rsidRDefault="0048529F" w:rsidP="00D75AA4">
      <w:pPr>
        <w:pStyle w:val="Prrafodelista"/>
        <w:numPr>
          <w:ilvl w:val="0"/>
          <w:numId w:val="4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lastRenderedPageBreak/>
        <w:t>La entidad u organización contratista deberá acreditar su naturaleza jurídica, representación legal, reconocimiento o registro aplicable, experiencia relacionada, capacidad administrativa y legitimidad comunitaria.</w:t>
      </w:r>
    </w:p>
    <w:p w14:paraId="0CC31006" w14:textId="77777777" w:rsidR="0048529F" w:rsidRPr="00FD7602" w:rsidRDefault="0048529F" w:rsidP="00D75AA4">
      <w:pPr>
        <w:pStyle w:val="Prrafodelista"/>
        <w:numPr>
          <w:ilvl w:val="0"/>
          <w:numId w:val="4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Deberá demostrar experiencia específica en procesos de fortalecimiento del gobierno propio, medicina ancestral, prácticas culturales, formación comunitaria, conmemoraciones, logística cultural y promoción de derechos de los pueblos indígenas.</w:t>
      </w:r>
    </w:p>
    <w:p w14:paraId="324A6755" w14:textId="77777777" w:rsidR="0048529F" w:rsidRPr="00FD7602" w:rsidRDefault="0048529F" w:rsidP="00D75AA4">
      <w:pPr>
        <w:pStyle w:val="Prrafodelista"/>
        <w:numPr>
          <w:ilvl w:val="0"/>
          <w:numId w:val="4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Sus estatutos, objeto misional y principios orientadores deberán guardar relación directa con la pervivencia cultural, la transmisión de saberes, la participación comunitaria y la defensa de los derechos colectivos de los pueblos indígenas.</w:t>
      </w:r>
    </w:p>
    <w:p w14:paraId="6B6B07B6" w14:textId="77777777" w:rsidR="0048529F" w:rsidRPr="00FD7602" w:rsidRDefault="0048529F" w:rsidP="00D75AA4">
      <w:pPr>
        <w:pStyle w:val="Prrafodelista"/>
        <w:numPr>
          <w:ilvl w:val="0"/>
          <w:numId w:val="4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La contratación directa se justifica en la necesidad de garantizar un enfoque étnico diferencial real, la participación de las comunidades y la ejecución culturalmente pertinente de las actividades concertadas.</w:t>
      </w:r>
    </w:p>
    <w:p w14:paraId="0413B72C" w14:textId="77777777" w:rsidR="0048529F" w:rsidRPr="00FD7602" w:rsidRDefault="0048529F" w:rsidP="00096E6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0366D5C0" w14:textId="77777777" w:rsidR="00D75AA4" w:rsidRPr="00FD7602" w:rsidRDefault="00D75AA4" w:rsidP="00D75A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eastAsiaTheme="minorEastAsia" w:hAnsi="Garamond"/>
          <w:color w:val="000000"/>
          <w:sz w:val="22"/>
          <w:szCs w:val="22"/>
          <w:lang w:val="es-MX" w:eastAsia="es-CO"/>
          <w14:ligatures w14:val="standardContextual"/>
        </w:rPr>
        <w:t>Objeto de la Entidad Contratista</w:t>
      </w:r>
    </w:p>
    <w:p w14:paraId="1B22D429" w14:textId="77777777" w:rsidR="00D75AA4" w:rsidRPr="00FD7602" w:rsidRDefault="00D75AA4" w:rsidP="00D75A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2231DF38" w14:textId="77777777" w:rsidR="00D75AA4" w:rsidRPr="00FD7602" w:rsidRDefault="00D75AA4" w:rsidP="00D75A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La autoridad u organización indígena que se seleccione deberá demostrar que su objeto organizativo se relaciona con la representación comunitaria, la pervivencia cultural, la transmisión de saberes, la medicina ancestral, las prácticas culturales propias y la interlocución institucional para la garantía de derechos colectivos.</w:t>
      </w:r>
    </w:p>
    <w:p w14:paraId="6E4D3544" w14:textId="77777777" w:rsidR="00696F47" w:rsidRPr="00FD7602" w:rsidRDefault="00696F47"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23016E50" w14:textId="77777777" w:rsidR="00B94294" w:rsidRPr="00FD7602" w:rsidRDefault="00B94294" w:rsidP="00B942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eastAsiaTheme="minorEastAsia" w:hAnsi="Garamond"/>
          <w:color w:val="000000"/>
          <w:sz w:val="22"/>
          <w:szCs w:val="22"/>
          <w:lang w:val="es-MX" w:eastAsia="es-CO"/>
          <w14:ligatures w14:val="standardContextual"/>
        </w:rPr>
        <w:t>Idoneidad Basada en la Experiencia Acreditada</w:t>
      </w:r>
    </w:p>
    <w:p w14:paraId="08F1A93D" w14:textId="77777777" w:rsidR="00B94294" w:rsidRPr="00FD7602" w:rsidRDefault="00B94294" w:rsidP="00B942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39F64926" w14:textId="77777777" w:rsidR="00B94294" w:rsidRPr="00FD7602" w:rsidRDefault="00B94294" w:rsidP="00B942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La idoneidad deberá soportarse en experiencia comprobable en procesos comunitarios con enfoque étnico, tales como talleres de saberes, actividades de medicina ancestral, encuentros culturales, procesos de memoria, acciones de fortalecimiento organizativo, participación en instancias de concertación y articulación institucional.</w:t>
      </w:r>
    </w:p>
    <w:p w14:paraId="3861154A" w14:textId="77777777" w:rsidR="00B94294" w:rsidRPr="00FD7602" w:rsidRDefault="00B94294" w:rsidP="00B942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7F7A9397" w14:textId="77777777" w:rsidR="00D75AA4" w:rsidRPr="00FD7602" w:rsidRDefault="00B94294" w:rsidP="00B9429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La experiencia acreditada debe guardar relación directa con el objeto contractual, disminuir riesgos de ejecución y garantizar que las actividades se desarrollen respetando la cosmovisión, usos, costumbres, gobierno propio y dinámicas comunitarias de los pueblos beneficiarios.</w:t>
      </w:r>
    </w:p>
    <w:p w14:paraId="1C7D14A6" w14:textId="77777777" w:rsidR="00D75AA4" w:rsidRPr="00FD7602" w:rsidRDefault="00D75AA4"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058DE379" w14:textId="77777777" w:rsidR="00D75AA4" w:rsidRPr="00FD7602" w:rsidRDefault="00D75AA4"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tbl>
      <w:tblPr>
        <w:tblW w:w="9631" w:type="dxa"/>
        <w:jc w:val="center"/>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843"/>
        <w:gridCol w:w="1134"/>
        <w:gridCol w:w="992"/>
        <w:gridCol w:w="1418"/>
        <w:gridCol w:w="3827"/>
        <w:gridCol w:w="1417"/>
      </w:tblGrid>
      <w:tr w:rsidR="000653C8" w:rsidRPr="000653C8" w14:paraId="5E63ADC3" w14:textId="77777777" w:rsidTr="000653C8">
        <w:trPr>
          <w:trHeight w:val="45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2E42A468" w14:textId="77777777" w:rsidR="000653C8" w:rsidRPr="000653C8" w:rsidRDefault="000653C8" w:rsidP="005C1ACA">
            <w:pPr>
              <w:ind w:right="165"/>
              <w:jc w:val="both"/>
              <w:rPr>
                <w:rFonts w:ascii="Calibri" w:eastAsia="Calibri" w:hAnsi="Calibri" w:cs="Calibri"/>
                <w:sz w:val="18"/>
                <w:szCs w:val="18"/>
              </w:rPr>
            </w:pPr>
            <w:r w:rsidRPr="000653C8">
              <w:rPr>
                <w:rFonts w:ascii="Calibri" w:eastAsia="Calibri" w:hAnsi="Calibri" w:cs="Calibri"/>
                <w:b/>
                <w:bCs/>
                <w:sz w:val="18"/>
                <w:szCs w:val="18"/>
              </w:rPr>
              <w:t>Año</w:t>
            </w:r>
            <w:r w:rsidRPr="000653C8">
              <w:rPr>
                <w:rFonts w:ascii="Calibri" w:eastAsia="Calibri" w:hAnsi="Calibri" w:cs="Calibri"/>
                <w:sz w:val="18"/>
                <w:szCs w:val="18"/>
              </w:rPr>
              <w:t>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DA9F529" w14:textId="77777777" w:rsidR="000653C8" w:rsidRPr="000653C8" w:rsidRDefault="000653C8" w:rsidP="000653C8">
            <w:pPr>
              <w:ind w:left="33"/>
              <w:jc w:val="both"/>
              <w:rPr>
                <w:rFonts w:ascii="Calibri" w:eastAsia="Calibri" w:hAnsi="Calibri" w:cs="Calibri"/>
                <w:sz w:val="18"/>
                <w:szCs w:val="18"/>
              </w:rPr>
            </w:pPr>
            <w:r w:rsidRPr="000653C8">
              <w:rPr>
                <w:rFonts w:ascii="Calibri" w:eastAsia="Calibri" w:hAnsi="Calibri" w:cs="Calibri"/>
                <w:b/>
                <w:bCs/>
                <w:sz w:val="18"/>
                <w:szCs w:val="18"/>
              </w:rPr>
              <w:t>Tipo contrato</w:t>
            </w:r>
            <w:r w:rsidRPr="000653C8">
              <w:rPr>
                <w:rFonts w:ascii="Calibri" w:eastAsia="Calibri" w:hAnsi="Calibri" w:cs="Calibri"/>
                <w:sz w:val="18"/>
                <w:szCs w:val="18"/>
              </w:rPr>
              <w:t>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0C2EF566"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b/>
                <w:bCs/>
                <w:sz w:val="18"/>
                <w:szCs w:val="18"/>
              </w:rPr>
              <w:t>Número</w:t>
            </w:r>
            <w:r w:rsidRPr="000653C8">
              <w:rPr>
                <w:rFonts w:ascii="Calibri" w:eastAsia="Calibri" w:hAnsi="Calibri" w:cs="Calibri"/>
                <w:sz w:val="18"/>
                <w:szCs w:val="18"/>
              </w:rPr>
              <w:t>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0088F2D2" w14:textId="77777777" w:rsidR="000653C8" w:rsidRPr="000653C8" w:rsidRDefault="000653C8" w:rsidP="000653C8">
            <w:pPr>
              <w:ind w:right="120" w:firstLine="135"/>
              <w:jc w:val="both"/>
              <w:rPr>
                <w:rFonts w:ascii="Calibri" w:eastAsia="Calibri" w:hAnsi="Calibri" w:cs="Calibri"/>
                <w:sz w:val="18"/>
                <w:szCs w:val="18"/>
              </w:rPr>
            </w:pPr>
            <w:r w:rsidRPr="000653C8">
              <w:rPr>
                <w:rFonts w:ascii="Calibri" w:eastAsia="Calibri" w:hAnsi="Calibri" w:cs="Calibri"/>
                <w:b/>
                <w:bCs/>
                <w:sz w:val="18"/>
                <w:szCs w:val="18"/>
              </w:rPr>
              <w:t>Entidad contratante</w:t>
            </w:r>
            <w:r w:rsidRPr="000653C8">
              <w:rPr>
                <w:rFonts w:ascii="Calibri" w:eastAsia="Calibri" w:hAnsi="Calibri" w:cs="Calibri"/>
                <w:sz w:val="18"/>
                <w:szCs w:val="18"/>
              </w:rPr>
              <w:t>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20D80E93" w14:textId="77777777" w:rsidR="000653C8" w:rsidRPr="000653C8" w:rsidRDefault="000653C8" w:rsidP="005C1ACA">
            <w:pPr>
              <w:ind w:left="765"/>
              <w:jc w:val="both"/>
              <w:rPr>
                <w:rFonts w:ascii="Calibri" w:eastAsia="Calibri" w:hAnsi="Calibri" w:cs="Calibri"/>
                <w:sz w:val="18"/>
                <w:szCs w:val="18"/>
              </w:rPr>
            </w:pPr>
            <w:r w:rsidRPr="000653C8">
              <w:rPr>
                <w:rFonts w:ascii="Calibri" w:eastAsia="Calibri" w:hAnsi="Calibri" w:cs="Calibri"/>
                <w:b/>
                <w:bCs/>
                <w:sz w:val="18"/>
                <w:szCs w:val="18"/>
              </w:rPr>
              <w:t>Objeto del contrato</w:t>
            </w:r>
            <w:r w:rsidRPr="000653C8">
              <w:rPr>
                <w:rFonts w:ascii="Calibri" w:eastAsia="Calibri" w:hAnsi="Calibri" w:cs="Calibri"/>
                <w:sz w:val="18"/>
                <w:szCs w:val="18"/>
              </w:rPr>
              <w:t>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1BB3DE4B" w14:textId="77777777" w:rsidR="000653C8" w:rsidRPr="000653C8" w:rsidRDefault="000653C8" w:rsidP="000653C8">
            <w:pPr>
              <w:ind w:left="34" w:firstLine="45"/>
              <w:jc w:val="both"/>
              <w:rPr>
                <w:rFonts w:ascii="Calibri" w:eastAsia="Calibri" w:hAnsi="Calibri" w:cs="Calibri"/>
                <w:sz w:val="18"/>
                <w:szCs w:val="18"/>
              </w:rPr>
            </w:pPr>
            <w:r w:rsidRPr="000653C8">
              <w:rPr>
                <w:rFonts w:ascii="Calibri" w:eastAsia="Calibri" w:hAnsi="Calibri" w:cs="Calibri"/>
                <w:b/>
                <w:bCs/>
                <w:sz w:val="18"/>
                <w:szCs w:val="18"/>
              </w:rPr>
              <w:t>Plazo de ejecución</w:t>
            </w:r>
            <w:r w:rsidRPr="000653C8">
              <w:rPr>
                <w:rFonts w:ascii="Calibri" w:eastAsia="Calibri" w:hAnsi="Calibri" w:cs="Calibri"/>
                <w:sz w:val="18"/>
                <w:szCs w:val="18"/>
              </w:rPr>
              <w:t> </w:t>
            </w:r>
          </w:p>
        </w:tc>
      </w:tr>
      <w:tr w:rsidR="000653C8" w:rsidRPr="000653C8" w14:paraId="42B54288" w14:textId="77777777" w:rsidTr="000653C8">
        <w:trPr>
          <w:trHeight w:val="1606"/>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310DF11D" w14:textId="77777777" w:rsidR="000653C8" w:rsidRPr="000653C8" w:rsidRDefault="000653C8" w:rsidP="005C1ACA">
            <w:pPr>
              <w:ind w:right="135"/>
              <w:jc w:val="both"/>
              <w:rPr>
                <w:rFonts w:ascii="Calibri" w:eastAsia="Calibri" w:hAnsi="Calibri" w:cs="Calibri"/>
                <w:sz w:val="18"/>
                <w:szCs w:val="18"/>
              </w:rPr>
            </w:pPr>
          </w:p>
          <w:p w14:paraId="7EE7AA77" w14:textId="77777777" w:rsidR="000653C8" w:rsidRPr="000653C8" w:rsidRDefault="000653C8" w:rsidP="005C1ACA">
            <w:pPr>
              <w:ind w:right="135"/>
              <w:jc w:val="both"/>
              <w:rPr>
                <w:rFonts w:ascii="Calibri" w:eastAsia="Calibri" w:hAnsi="Calibri" w:cs="Calibri"/>
                <w:sz w:val="18"/>
                <w:szCs w:val="18"/>
              </w:rPr>
            </w:pPr>
          </w:p>
          <w:p w14:paraId="18839BA2"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2021</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0BF647D5" w14:textId="77777777" w:rsidR="000653C8" w:rsidRPr="000653C8" w:rsidRDefault="000653C8" w:rsidP="000653C8">
            <w:pPr>
              <w:ind w:left="33" w:firstLine="345"/>
              <w:jc w:val="both"/>
              <w:rPr>
                <w:rFonts w:ascii="Calibri" w:eastAsia="Calibri" w:hAnsi="Calibri" w:cs="Calibri"/>
                <w:sz w:val="18"/>
                <w:szCs w:val="18"/>
              </w:rPr>
            </w:pPr>
          </w:p>
          <w:p w14:paraId="022E6FC7" w14:textId="77777777" w:rsidR="000653C8" w:rsidRPr="000653C8" w:rsidRDefault="000653C8" w:rsidP="000653C8">
            <w:pPr>
              <w:ind w:left="33"/>
              <w:jc w:val="both"/>
              <w:rPr>
                <w:rFonts w:ascii="Calibri" w:eastAsia="Calibri" w:hAnsi="Calibri" w:cs="Calibri"/>
                <w:sz w:val="18"/>
                <w:szCs w:val="18"/>
              </w:rPr>
            </w:pPr>
          </w:p>
          <w:p w14:paraId="4A82DE03" w14:textId="77777777" w:rsidR="000653C8" w:rsidRPr="000653C8" w:rsidRDefault="000653C8" w:rsidP="000653C8">
            <w:pPr>
              <w:ind w:left="33"/>
              <w:jc w:val="both"/>
              <w:rPr>
                <w:rFonts w:ascii="Calibri" w:eastAsia="Calibri" w:hAnsi="Calibri" w:cs="Calibri"/>
                <w:sz w:val="18"/>
                <w:szCs w:val="18"/>
              </w:rPr>
            </w:pPr>
            <w:r w:rsidRPr="000653C8">
              <w:rPr>
                <w:rFonts w:ascii="Calibri" w:eastAsia="Calibri" w:hAnsi="Calibri" w:cs="Calibri"/>
                <w:sz w:val="18"/>
                <w:szCs w:val="18"/>
              </w:rPr>
              <w:t>Contrato Interadministrativo</w:t>
            </w:r>
          </w:p>
          <w:p w14:paraId="198C0631" w14:textId="77777777" w:rsidR="000653C8" w:rsidRPr="000653C8" w:rsidRDefault="000653C8" w:rsidP="000653C8">
            <w:pPr>
              <w:ind w:left="33" w:firstLine="345"/>
              <w:jc w:val="both"/>
              <w:rPr>
                <w:rFonts w:ascii="Calibri" w:eastAsia="Calibri" w:hAnsi="Calibri" w:cs="Calibri"/>
                <w:sz w:val="18"/>
                <w:szCs w:val="18"/>
              </w:rPr>
            </w:pPr>
          </w:p>
          <w:p w14:paraId="2BD63BE7" w14:textId="77777777" w:rsidR="000653C8" w:rsidRPr="000653C8" w:rsidRDefault="000653C8" w:rsidP="000653C8">
            <w:pPr>
              <w:ind w:left="33" w:firstLine="345"/>
              <w:jc w:val="both"/>
              <w:rPr>
                <w:rFonts w:ascii="Calibri" w:eastAsia="Calibri" w:hAnsi="Calibri" w:cs="Calibri"/>
                <w:sz w:val="18"/>
                <w:szCs w:val="18"/>
              </w:rPr>
            </w:pP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54C4C5F0" w14:textId="77777777" w:rsidR="000653C8" w:rsidRPr="000653C8" w:rsidRDefault="000653C8" w:rsidP="005C1ACA">
            <w:pPr>
              <w:ind w:left="75" w:right="60"/>
              <w:jc w:val="both"/>
              <w:rPr>
                <w:rFonts w:ascii="Calibri" w:eastAsia="Calibri" w:hAnsi="Calibri" w:cs="Calibri"/>
                <w:sz w:val="18"/>
                <w:szCs w:val="18"/>
              </w:rPr>
            </w:pPr>
          </w:p>
          <w:p w14:paraId="1BEA6ACC" w14:textId="77777777" w:rsidR="000653C8" w:rsidRPr="000653C8" w:rsidRDefault="000653C8" w:rsidP="005C1ACA">
            <w:pPr>
              <w:ind w:left="75" w:right="60"/>
              <w:jc w:val="both"/>
              <w:rPr>
                <w:rFonts w:ascii="Calibri" w:eastAsia="Calibri" w:hAnsi="Calibri" w:cs="Calibri"/>
                <w:sz w:val="18"/>
                <w:szCs w:val="18"/>
              </w:rPr>
            </w:pPr>
          </w:p>
          <w:p w14:paraId="0B0FC916" w14:textId="77777777" w:rsidR="000653C8" w:rsidRPr="000653C8" w:rsidRDefault="000653C8" w:rsidP="005C1ACA">
            <w:pPr>
              <w:ind w:left="75" w:right="60"/>
              <w:jc w:val="both"/>
              <w:rPr>
                <w:rFonts w:ascii="Calibri" w:eastAsia="Calibri" w:hAnsi="Calibri" w:cs="Calibri"/>
                <w:sz w:val="18"/>
                <w:szCs w:val="18"/>
              </w:rPr>
            </w:pPr>
          </w:p>
          <w:p w14:paraId="77A21493"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2990350- 2021</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1FFC4576" w14:textId="77777777" w:rsidR="000653C8" w:rsidRPr="000653C8" w:rsidRDefault="000653C8" w:rsidP="000653C8">
            <w:pPr>
              <w:ind w:right="105"/>
              <w:jc w:val="both"/>
              <w:rPr>
                <w:rFonts w:ascii="Calibri" w:eastAsia="Calibri" w:hAnsi="Calibri" w:cs="Calibri"/>
                <w:sz w:val="18"/>
                <w:szCs w:val="18"/>
              </w:rPr>
            </w:pPr>
          </w:p>
          <w:p w14:paraId="2C0195A9" w14:textId="77777777" w:rsidR="000653C8" w:rsidRPr="000653C8" w:rsidRDefault="000653C8" w:rsidP="000653C8">
            <w:pPr>
              <w:ind w:right="105"/>
              <w:jc w:val="both"/>
              <w:rPr>
                <w:rFonts w:ascii="Calibri" w:eastAsia="Calibri" w:hAnsi="Calibri" w:cs="Calibri"/>
                <w:sz w:val="18"/>
                <w:szCs w:val="18"/>
              </w:rPr>
            </w:pPr>
          </w:p>
          <w:p w14:paraId="53D74D69" w14:textId="77777777" w:rsidR="000653C8" w:rsidRPr="000653C8" w:rsidRDefault="000653C8" w:rsidP="000653C8">
            <w:pPr>
              <w:ind w:right="105"/>
              <w:jc w:val="both"/>
              <w:rPr>
                <w:rFonts w:ascii="Calibri" w:eastAsia="Calibri" w:hAnsi="Calibri" w:cs="Calibri"/>
                <w:sz w:val="18"/>
                <w:szCs w:val="18"/>
              </w:rPr>
            </w:pPr>
          </w:p>
          <w:p w14:paraId="05C186E5" w14:textId="77777777" w:rsidR="000653C8" w:rsidRPr="000653C8" w:rsidRDefault="000653C8" w:rsidP="000653C8">
            <w:pPr>
              <w:ind w:right="105"/>
              <w:jc w:val="both"/>
              <w:rPr>
                <w:rFonts w:ascii="Calibri" w:eastAsia="Calibri" w:hAnsi="Calibri" w:cs="Calibri"/>
                <w:sz w:val="18"/>
                <w:szCs w:val="18"/>
              </w:rPr>
            </w:pPr>
            <w:r w:rsidRPr="000653C8">
              <w:rPr>
                <w:rFonts w:ascii="Calibri" w:eastAsia="Calibri" w:hAnsi="Calibri" w:cs="Calibri"/>
                <w:sz w:val="18"/>
                <w:szCs w:val="18"/>
              </w:rPr>
              <w:t>Secretaría de Educación del Distrito</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6C60B92F" w14:textId="77777777" w:rsidR="000653C8" w:rsidRPr="000653C8" w:rsidRDefault="000653C8" w:rsidP="005C1ACA">
            <w:pPr>
              <w:ind w:left="90" w:right="90"/>
              <w:jc w:val="both"/>
              <w:rPr>
                <w:rFonts w:ascii="Calibri" w:eastAsia="Calibri" w:hAnsi="Calibri" w:cs="Calibri"/>
                <w:sz w:val="18"/>
                <w:szCs w:val="18"/>
              </w:rPr>
            </w:pPr>
          </w:p>
          <w:p w14:paraId="55AD308A" w14:textId="77777777" w:rsidR="000653C8" w:rsidRPr="000653C8" w:rsidRDefault="000653C8" w:rsidP="005C1ACA">
            <w:pPr>
              <w:ind w:left="90" w:right="90"/>
              <w:jc w:val="both"/>
              <w:rPr>
                <w:rFonts w:ascii="Calibri" w:eastAsia="Calibri" w:hAnsi="Calibri" w:cs="Calibri"/>
                <w:sz w:val="18"/>
                <w:szCs w:val="18"/>
              </w:rPr>
            </w:pPr>
          </w:p>
          <w:p w14:paraId="702C10B2" w14:textId="77777777" w:rsidR="000653C8" w:rsidRPr="000653C8" w:rsidRDefault="000653C8" w:rsidP="005C1ACA">
            <w:pPr>
              <w:ind w:left="90" w:right="90"/>
              <w:jc w:val="both"/>
              <w:rPr>
                <w:rFonts w:ascii="Calibri" w:eastAsia="Calibri" w:hAnsi="Calibri" w:cs="Calibri"/>
                <w:sz w:val="18"/>
                <w:szCs w:val="18"/>
              </w:rPr>
            </w:pPr>
          </w:p>
          <w:p w14:paraId="65897273"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Desarrollar procesos comunitarios y participativos con los Pueblos Indígenas que conforman la Mesa Autónoma de Bogotá, con el fin de aportar a la construcción de la propuesta de educación propia e intercultural que fortalezca la identidad cultural de los y las estudiantes indígenas que hacen parte del Sistema Educativo Distrital.</w:t>
            </w:r>
          </w:p>
          <w:p w14:paraId="64F8944B" w14:textId="77777777" w:rsidR="000653C8" w:rsidRPr="000653C8" w:rsidRDefault="000653C8" w:rsidP="005C1ACA">
            <w:pPr>
              <w:ind w:left="90" w:right="90"/>
              <w:jc w:val="both"/>
              <w:rPr>
                <w:rFonts w:ascii="Calibri" w:eastAsia="Calibri" w:hAnsi="Calibri" w:cs="Calibri"/>
                <w:sz w:val="18"/>
                <w:szCs w:val="18"/>
              </w:rPr>
            </w:pP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2F5DFE61" w14:textId="77777777" w:rsidR="000653C8" w:rsidRPr="000653C8" w:rsidRDefault="000653C8" w:rsidP="000653C8">
            <w:pPr>
              <w:ind w:left="34" w:right="240"/>
              <w:jc w:val="both"/>
              <w:rPr>
                <w:rFonts w:ascii="Calibri" w:eastAsia="Calibri" w:hAnsi="Calibri" w:cs="Calibri"/>
                <w:sz w:val="18"/>
                <w:szCs w:val="18"/>
              </w:rPr>
            </w:pPr>
          </w:p>
          <w:p w14:paraId="43F48FC0" w14:textId="77777777" w:rsidR="000653C8" w:rsidRPr="000653C8" w:rsidRDefault="000653C8" w:rsidP="000653C8">
            <w:pPr>
              <w:ind w:left="34" w:right="240"/>
              <w:jc w:val="both"/>
              <w:rPr>
                <w:rFonts w:ascii="Calibri" w:eastAsia="Calibri" w:hAnsi="Calibri" w:cs="Calibri"/>
                <w:sz w:val="18"/>
                <w:szCs w:val="18"/>
              </w:rPr>
            </w:pPr>
          </w:p>
          <w:p w14:paraId="183BA1A7" w14:textId="77777777" w:rsidR="000653C8" w:rsidRPr="000653C8" w:rsidRDefault="000653C8" w:rsidP="000653C8">
            <w:pPr>
              <w:ind w:left="34" w:right="240"/>
              <w:jc w:val="both"/>
              <w:rPr>
                <w:rFonts w:ascii="Calibri" w:eastAsia="Calibri" w:hAnsi="Calibri" w:cs="Calibri"/>
                <w:sz w:val="18"/>
                <w:szCs w:val="18"/>
              </w:rPr>
            </w:pPr>
            <w:r w:rsidRPr="000653C8">
              <w:rPr>
                <w:rFonts w:ascii="Calibri" w:eastAsia="Calibri" w:hAnsi="Calibri" w:cs="Calibri"/>
                <w:sz w:val="18"/>
                <w:szCs w:val="18"/>
              </w:rPr>
              <w:t xml:space="preserve">6 meses </w:t>
            </w:r>
          </w:p>
        </w:tc>
      </w:tr>
      <w:tr w:rsidR="000653C8" w:rsidRPr="000653C8" w14:paraId="7D5EA295" w14:textId="77777777" w:rsidTr="000653C8">
        <w:trPr>
          <w:trHeight w:val="1755"/>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3EC64475" w14:textId="77777777" w:rsidR="000653C8" w:rsidRPr="000653C8" w:rsidRDefault="000653C8" w:rsidP="005C1ACA">
            <w:pPr>
              <w:ind w:right="135"/>
              <w:jc w:val="both"/>
              <w:rPr>
                <w:rFonts w:ascii="Calibri" w:eastAsia="Calibri" w:hAnsi="Calibri" w:cs="Calibri"/>
                <w:sz w:val="18"/>
                <w:szCs w:val="18"/>
              </w:rPr>
            </w:pPr>
          </w:p>
          <w:p w14:paraId="573D094E" w14:textId="77777777" w:rsidR="000653C8" w:rsidRPr="000653C8" w:rsidRDefault="000653C8" w:rsidP="005C1ACA">
            <w:pPr>
              <w:ind w:right="135"/>
              <w:jc w:val="both"/>
              <w:rPr>
                <w:rFonts w:ascii="Calibri" w:eastAsia="Calibri" w:hAnsi="Calibri" w:cs="Calibri"/>
                <w:sz w:val="18"/>
                <w:szCs w:val="18"/>
              </w:rPr>
            </w:pPr>
          </w:p>
          <w:p w14:paraId="5B9AD624" w14:textId="77777777" w:rsidR="000653C8" w:rsidRPr="000653C8" w:rsidRDefault="000653C8" w:rsidP="005C1ACA">
            <w:pPr>
              <w:ind w:right="135"/>
              <w:jc w:val="both"/>
              <w:rPr>
                <w:rFonts w:ascii="Calibri" w:eastAsia="Calibri" w:hAnsi="Calibri" w:cs="Calibri"/>
                <w:sz w:val="18"/>
                <w:szCs w:val="18"/>
              </w:rPr>
            </w:pPr>
          </w:p>
          <w:p w14:paraId="5E1616FE" w14:textId="77777777" w:rsidR="000653C8" w:rsidRPr="000653C8" w:rsidRDefault="000653C8" w:rsidP="005C1ACA">
            <w:pPr>
              <w:ind w:right="135"/>
              <w:jc w:val="both"/>
              <w:rPr>
                <w:rFonts w:ascii="Calibri" w:eastAsia="Calibri" w:hAnsi="Calibri" w:cs="Calibri"/>
                <w:sz w:val="18"/>
                <w:szCs w:val="18"/>
              </w:rPr>
            </w:pPr>
          </w:p>
          <w:p w14:paraId="107CE80A"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2017</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22DE9257" w14:textId="77777777" w:rsidR="000653C8" w:rsidRPr="000653C8" w:rsidRDefault="000653C8" w:rsidP="005C1ACA">
            <w:pPr>
              <w:ind w:left="135" w:firstLine="345"/>
              <w:jc w:val="both"/>
              <w:rPr>
                <w:rFonts w:ascii="Calibri" w:eastAsia="Calibri" w:hAnsi="Calibri" w:cs="Calibri"/>
                <w:sz w:val="18"/>
                <w:szCs w:val="18"/>
              </w:rPr>
            </w:pPr>
          </w:p>
          <w:p w14:paraId="4FA0CAC1" w14:textId="77777777" w:rsidR="000653C8" w:rsidRPr="000653C8" w:rsidRDefault="000653C8" w:rsidP="005C1ACA">
            <w:pPr>
              <w:ind w:left="135" w:firstLine="345"/>
              <w:jc w:val="both"/>
              <w:rPr>
                <w:rFonts w:ascii="Calibri" w:eastAsia="Calibri" w:hAnsi="Calibri" w:cs="Calibri"/>
                <w:sz w:val="18"/>
                <w:szCs w:val="18"/>
              </w:rPr>
            </w:pPr>
          </w:p>
          <w:p w14:paraId="668F1BF6" w14:textId="77777777" w:rsidR="000653C8" w:rsidRPr="000653C8" w:rsidRDefault="000653C8" w:rsidP="005C1ACA">
            <w:pPr>
              <w:ind w:left="135" w:firstLine="345"/>
              <w:jc w:val="both"/>
              <w:rPr>
                <w:rFonts w:ascii="Calibri" w:eastAsia="Calibri" w:hAnsi="Calibri" w:cs="Calibri"/>
                <w:sz w:val="18"/>
                <w:szCs w:val="18"/>
              </w:rPr>
            </w:pPr>
          </w:p>
          <w:p w14:paraId="1B30A202" w14:textId="77777777" w:rsidR="000653C8" w:rsidRPr="000653C8" w:rsidRDefault="000653C8" w:rsidP="005C1ACA">
            <w:pPr>
              <w:ind w:left="135"/>
              <w:jc w:val="both"/>
              <w:rPr>
                <w:rFonts w:ascii="Calibri" w:eastAsia="Calibri" w:hAnsi="Calibri" w:cs="Calibri"/>
                <w:sz w:val="18"/>
                <w:szCs w:val="18"/>
              </w:rPr>
            </w:pPr>
            <w:r w:rsidRPr="000653C8">
              <w:rPr>
                <w:rFonts w:ascii="Calibri" w:eastAsia="Calibri" w:hAnsi="Calibri" w:cs="Calibri"/>
                <w:sz w:val="18"/>
                <w:szCs w:val="18"/>
              </w:rPr>
              <w:t xml:space="preserve">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33C3E0F2" w14:textId="77777777" w:rsidR="000653C8" w:rsidRPr="000653C8" w:rsidRDefault="000653C8" w:rsidP="005C1ACA">
            <w:pPr>
              <w:ind w:left="75" w:right="60"/>
              <w:jc w:val="both"/>
              <w:rPr>
                <w:rFonts w:ascii="Calibri" w:eastAsia="Calibri" w:hAnsi="Calibri" w:cs="Calibri"/>
                <w:sz w:val="18"/>
                <w:szCs w:val="18"/>
              </w:rPr>
            </w:pPr>
          </w:p>
          <w:p w14:paraId="7C9982EB" w14:textId="77777777" w:rsidR="000653C8" w:rsidRPr="000653C8" w:rsidRDefault="000653C8" w:rsidP="005C1ACA">
            <w:pPr>
              <w:ind w:left="75" w:right="60"/>
              <w:jc w:val="both"/>
              <w:rPr>
                <w:rFonts w:ascii="Calibri" w:eastAsia="Calibri" w:hAnsi="Calibri" w:cs="Calibri"/>
                <w:sz w:val="18"/>
                <w:szCs w:val="18"/>
              </w:rPr>
            </w:pPr>
          </w:p>
          <w:p w14:paraId="28407DDD" w14:textId="77777777" w:rsidR="000653C8" w:rsidRPr="000653C8" w:rsidRDefault="000653C8" w:rsidP="005C1ACA">
            <w:pPr>
              <w:ind w:left="75" w:right="60"/>
              <w:jc w:val="both"/>
              <w:rPr>
                <w:rFonts w:ascii="Calibri" w:eastAsia="Calibri" w:hAnsi="Calibri" w:cs="Calibri"/>
                <w:sz w:val="18"/>
                <w:szCs w:val="18"/>
              </w:rPr>
            </w:pPr>
          </w:p>
          <w:p w14:paraId="4D2950F0" w14:textId="77777777" w:rsidR="000653C8" w:rsidRPr="000653C8" w:rsidRDefault="000653C8" w:rsidP="005C1ACA">
            <w:pPr>
              <w:ind w:left="75" w:right="60"/>
              <w:jc w:val="both"/>
              <w:rPr>
                <w:rFonts w:ascii="Calibri" w:eastAsia="Calibri" w:hAnsi="Calibri" w:cs="Calibri"/>
                <w:sz w:val="18"/>
                <w:szCs w:val="18"/>
              </w:rPr>
            </w:pPr>
          </w:p>
          <w:p w14:paraId="4512F63B" w14:textId="77777777" w:rsidR="000653C8" w:rsidRPr="000653C8" w:rsidRDefault="000653C8" w:rsidP="005C1ACA">
            <w:pPr>
              <w:ind w:left="75" w:right="60"/>
              <w:jc w:val="both"/>
              <w:rPr>
                <w:rFonts w:ascii="Calibri" w:eastAsia="Calibri" w:hAnsi="Calibri" w:cs="Calibri"/>
                <w:sz w:val="18"/>
                <w:szCs w:val="18"/>
              </w:rPr>
            </w:pPr>
          </w:p>
          <w:p w14:paraId="037D169F"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2614 -2017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70D9756D" w14:textId="77777777" w:rsidR="000653C8" w:rsidRPr="000653C8" w:rsidRDefault="000653C8" w:rsidP="005C1ACA">
            <w:pPr>
              <w:ind w:left="120" w:right="105"/>
              <w:jc w:val="both"/>
              <w:rPr>
                <w:rFonts w:ascii="Calibri" w:eastAsia="Calibri" w:hAnsi="Calibri" w:cs="Calibri"/>
                <w:sz w:val="18"/>
                <w:szCs w:val="18"/>
              </w:rPr>
            </w:pPr>
          </w:p>
          <w:p w14:paraId="617AC21E" w14:textId="77777777" w:rsidR="000653C8" w:rsidRPr="000653C8" w:rsidRDefault="000653C8" w:rsidP="005C1ACA">
            <w:pPr>
              <w:ind w:left="120" w:right="105"/>
              <w:jc w:val="both"/>
              <w:rPr>
                <w:rFonts w:ascii="Calibri" w:eastAsia="Calibri" w:hAnsi="Calibri" w:cs="Calibri"/>
                <w:sz w:val="18"/>
                <w:szCs w:val="18"/>
              </w:rPr>
            </w:pPr>
          </w:p>
          <w:p w14:paraId="3D75EBEA" w14:textId="77777777" w:rsidR="000653C8" w:rsidRPr="000653C8" w:rsidRDefault="000653C8" w:rsidP="005C1ACA">
            <w:pPr>
              <w:ind w:left="120" w:right="105"/>
              <w:jc w:val="both"/>
              <w:rPr>
                <w:rFonts w:ascii="Calibri" w:eastAsia="Calibri" w:hAnsi="Calibri" w:cs="Calibri"/>
                <w:sz w:val="18"/>
                <w:szCs w:val="18"/>
              </w:rPr>
            </w:pPr>
          </w:p>
          <w:p w14:paraId="6FE842E0"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de Educación del Distrito</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3C5A8788" w14:textId="77777777" w:rsidR="000653C8" w:rsidRPr="000653C8" w:rsidRDefault="000653C8" w:rsidP="005C1ACA">
            <w:pPr>
              <w:ind w:left="90" w:right="90"/>
              <w:jc w:val="both"/>
              <w:rPr>
                <w:rFonts w:ascii="Calibri" w:eastAsia="Calibri" w:hAnsi="Calibri" w:cs="Calibri"/>
                <w:sz w:val="18"/>
                <w:szCs w:val="18"/>
              </w:rPr>
            </w:pPr>
          </w:p>
          <w:p w14:paraId="780E457E" w14:textId="77777777" w:rsidR="000653C8" w:rsidRPr="000653C8" w:rsidRDefault="000653C8" w:rsidP="005C1ACA">
            <w:pPr>
              <w:ind w:left="90" w:right="90"/>
              <w:jc w:val="both"/>
              <w:rPr>
                <w:rFonts w:ascii="Calibri" w:eastAsia="Calibri" w:hAnsi="Calibri" w:cs="Calibri"/>
                <w:sz w:val="18"/>
                <w:szCs w:val="18"/>
              </w:rPr>
            </w:pPr>
          </w:p>
          <w:p w14:paraId="568CF1DA"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Desarrollar procesos pedagógicos y de consulta con miembros de pueblos indígenas presentes en la ciudad, para fortalecer la atención educativa a personas indígenas en el Sistema Educativo Distrital.</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7827146E" w14:textId="77777777" w:rsidR="000653C8" w:rsidRPr="000653C8" w:rsidRDefault="000653C8" w:rsidP="005C1ACA">
            <w:pPr>
              <w:ind w:left="255" w:right="240"/>
              <w:jc w:val="both"/>
              <w:rPr>
                <w:rFonts w:ascii="Calibri" w:eastAsia="Calibri" w:hAnsi="Calibri" w:cs="Calibri"/>
                <w:sz w:val="18"/>
                <w:szCs w:val="18"/>
              </w:rPr>
            </w:pPr>
          </w:p>
          <w:p w14:paraId="0E47B0CE" w14:textId="77777777" w:rsidR="000653C8" w:rsidRPr="000653C8" w:rsidRDefault="000653C8" w:rsidP="005C1ACA">
            <w:pPr>
              <w:ind w:left="255" w:right="240"/>
              <w:jc w:val="both"/>
              <w:rPr>
                <w:rFonts w:ascii="Calibri" w:eastAsia="Calibri" w:hAnsi="Calibri" w:cs="Calibri"/>
                <w:sz w:val="18"/>
                <w:szCs w:val="18"/>
              </w:rPr>
            </w:pPr>
          </w:p>
          <w:p w14:paraId="6F569797" w14:textId="77777777" w:rsidR="000653C8" w:rsidRPr="000653C8" w:rsidRDefault="000653C8" w:rsidP="005C1ACA">
            <w:pPr>
              <w:ind w:left="255" w:right="240"/>
              <w:jc w:val="both"/>
              <w:rPr>
                <w:rFonts w:ascii="Calibri" w:eastAsia="Calibri" w:hAnsi="Calibri" w:cs="Calibri"/>
                <w:sz w:val="18"/>
                <w:szCs w:val="18"/>
              </w:rPr>
            </w:pPr>
          </w:p>
          <w:p w14:paraId="68026401" w14:textId="77777777" w:rsidR="000653C8" w:rsidRPr="000653C8" w:rsidRDefault="000653C8" w:rsidP="005C1ACA">
            <w:pPr>
              <w:ind w:left="255" w:right="240"/>
              <w:jc w:val="both"/>
              <w:rPr>
                <w:rFonts w:ascii="Calibri" w:eastAsia="Calibri" w:hAnsi="Calibri" w:cs="Calibri"/>
                <w:sz w:val="18"/>
                <w:szCs w:val="18"/>
              </w:rPr>
            </w:pPr>
          </w:p>
          <w:p w14:paraId="3EC366C9" w14:textId="77777777" w:rsidR="000653C8" w:rsidRPr="000653C8" w:rsidRDefault="000653C8" w:rsidP="005C1ACA">
            <w:pPr>
              <w:ind w:left="255" w:right="240"/>
              <w:jc w:val="both"/>
              <w:rPr>
                <w:rFonts w:ascii="Calibri" w:eastAsia="Calibri" w:hAnsi="Calibri" w:cs="Calibri"/>
                <w:sz w:val="18"/>
                <w:szCs w:val="18"/>
              </w:rPr>
            </w:pPr>
          </w:p>
          <w:p w14:paraId="694B007D"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6 meses</w:t>
            </w:r>
          </w:p>
        </w:tc>
      </w:tr>
      <w:tr w:rsidR="000653C8" w:rsidRPr="000653C8" w14:paraId="51F0B1CE" w14:textId="77777777" w:rsidTr="000653C8">
        <w:trPr>
          <w:trHeight w:val="2061"/>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329032E7"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2017 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60FD9CA9" w14:textId="77777777" w:rsidR="000653C8" w:rsidRPr="000653C8" w:rsidRDefault="000653C8" w:rsidP="005C1ACA">
            <w:pPr>
              <w:ind w:left="135" w:firstLine="34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7C6FE9F0"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6111-2017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6C6EA7A0"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6C21A6AC"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Suministrar alimentos a través del servicio de canasta complementaria de alimentos a familias en inseguridad alimentaria moderada y severa pertenecientes al Cabildo Indígena Ambiká Etnia Pijao, así como implementar el componente social con enfoque diferencial teniendo en cuenta los lineamientos técnicos definidos por la Secretaría Distrital de Integración Social -SDIS-.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620416EF"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10 meses </w:t>
            </w:r>
          </w:p>
        </w:tc>
      </w:tr>
      <w:tr w:rsidR="000653C8" w:rsidRPr="000653C8" w14:paraId="2302F17D" w14:textId="77777777" w:rsidTr="000653C8">
        <w:trPr>
          <w:trHeight w:val="252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19E203A8"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2016 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0EB2F304" w14:textId="77777777" w:rsidR="000653C8" w:rsidRPr="000653C8" w:rsidRDefault="000653C8" w:rsidP="005C1ACA">
            <w:pPr>
              <w:ind w:left="135" w:firstLine="34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02218FA9" w14:textId="77777777" w:rsidR="000653C8" w:rsidRPr="000653C8" w:rsidRDefault="000653C8" w:rsidP="005C1ACA">
            <w:pPr>
              <w:ind w:left="315"/>
              <w:jc w:val="both"/>
              <w:rPr>
                <w:rFonts w:ascii="Calibri" w:eastAsia="Calibri" w:hAnsi="Calibri" w:cs="Calibri"/>
                <w:sz w:val="18"/>
                <w:szCs w:val="18"/>
              </w:rPr>
            </w:pPr>
            <w:r w:rsidRPr="000653C8">
              <w:rPr>
                <w:rFonts w:ascii="Calibri" w:eastAsia="Calibri" w:hAnsi="Calibri" w:cs="Calibri"/>
                <w:sz w:val="18"/>
                <w:szCs w:val="18"/>
              </w:rPr>
              <w:t>2016- </w:t>
            </w:r>
          </w:p>
          <w:p w14:paraId="5C910A81" w14:textId="77777777" w:rsidR="000653C8" w:rsidRPr="000653C8" w:rsidRDefault="000653C8" w:rsidP="005C1ACA">
            <w:pPr>
              <w:ind w:left="300"/>
              <w:jc w:val="both"/>
              <w:rPr>
                <w:rFonts w:ascii="Calibri" w:eastAsia="Calibri" w:hAnsi="Calibri" w:cs="Calibri"/>
                <w:sz w:val="18"/>
                <w:szCs w:val="18"/>
              </w:rPr>
            </w:pPr>
            <w:r w:rsidRPr="000653C8">
              <w:rPr>
                <w:rFonts w:ascii="Calibri" w:eastAsia="Calibri" w:hAnsi="Calibri" w:cs="Calibri"/>
                <w:sz w:val="18"/>
                <w:szCs w:val="18"/>
              </w:rPr>
              <w:t>10708 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434CD4FA"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75934AB1"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Suministrar alimentos a través de la modalidad de Canasta Complementaria de Alimentos, a las familias en pobreza y pobreza extrema e inseguridad alimentaria y nutricional pertenecientes al CABILDO NDÍGENA AMBIKA ETNIA PIJAO, así como </w:t>
            </w:r>
          </w:p>
          <w:p w14:paraId="2EA55A45" w14:textId="77777777" w:rsidR="000653C8" w:rsidRPr="000653C8" w:rsidRDefault="000653C8" w:rsidP="005C1ACA">
            <w:pPr>
              <w:ind w:left="195" w:right="180"/>
              <w:jc w:val="both"/>
              <w:rPr>
                <w:rFonts w:ascii="Calibri" w:eastAsia="Calibri" w:hAnsi="Calibri" w:cs="Calibri"/>
                <w:sz w:val="18"/>
                <w:szCs w:val="18"/>
              </w:rPr>
            </w:pPr>
            <w:r w:rsidRPr="000653C8">
              <w:rPr>
                <w:rFonts w:ascii="Calibri" w:eastAsia="Calibri" w:hAnsi="Calibri" w:cs="Calibri"/>
                <w:sz w:val="18"/>
                <w:szCs w:val="18"/>
              </w:rPr>
              <w:t xml:space="preserve">implementar acciones de inclusión social </w:t>
            </w:r>
            <w:proofErr w:type="gramStart"/>
            <w:r w:rsidRPr="000653C8">
              <w:rPr>
                <w:rFonts w:ascii="Calibri" w:eastAsia="Calibri" w:hAnsi="Calibri" w:cs="Calibri"/>
                <w:sz w:val="18"/>
                <w:szCs w:val="18"/>
              </w:rPr>
              <w:t>de acuerdo a</w:t>
            </w:r>
            <w:proofErr w:type="gramEnd"/>
            <w:r w:rsidRPr="000653C8">
              <w:rPr>
                <w:rFonts w:ascii="Calibri" w:eastAsia="Calibri" w:hAnsi="Calibri" w:cs="Calibri"/>
                <w:sz w:val="18"/>
                <w:szCs w:val="18"/>
              </w:rPr>
              <w:t xml:space="preserve"> los lineamientos técnicos definidos por la Secretaría </w:t>
            </w:r>
          </w:p>
          <w:p w14:paraId="1884C72F"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Distrital de Integración Social -SDIS.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38DA1FCE"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6 meses </w:t>
            </w:r>
          </w:p>
        </w:tc>
      </w:tr>
      <w:tr w:rsidR="000653C8" w:rsidRPr="000653C8" w14:paraId="2CEBF9A2" w14:textId="77777777" w:rsidTr="000653C8">
        <w:trPr>
          <w:trHeight w:val="148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42F6FF1C" w14:textId="77777777" w:rsidR="000653C8" w:rsidRPr="000653C8" w:rsidRDefault="000653C8" w:rsidP="005C1ACA">
            <w:pPr>
              <w:ind w:right="135"/>
              <w:jc w:val="both"/>
              <w:rPr>
                <w:rFonts w:ascii="Calibri" w:eastAsia="Calibri" w:hAnsi="Calibri" w:cs="Calibri"/>
                <w:sz w:val="18"/>
                <w:szCs w:val="18"/>
              </w:rPr>
            </w:pPr>
          </w:p>
          <w:p w14:paraId="18A59F94" w14:textId="77777777" w:rsidR="000653C8" w:rsidRPr="000653C8" w:rsidRDefault="000653C8" w:rsidP="005C1ACA">
            <w:pPr>
              <w:ind w:right="135"/>
              <w:jc w:val="both"/>
              <w:rPr>
                <w:rFonts w:ascii="Calibri" w:eastAsia="Calibri" w:hAnsi="Calibri" w:cs="Calibri"/>
                <w:sz w:val="18"/>
                <w:szCs w:val="18"/>
              </w:rPr>
            </w:pPr>
          </w:p>
          <w:p w14:paraId="24E7B268"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2015</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67B3F7C0" w14:textId="77777777" w:rsidR="000653C8" w:rsidRPr="000653C8" w:rsidRDefault="000653C8" w:rsidP="005C1ACA">
            <w:pPr>
              <w:ind w:left="135" w:firstLine="345"/>
              <w:jc w:val="both"/>
              <w:rPr>
                <w:rFonts w:ascii="Calibri" w:eastAsia="Calibri" w:hAnsi="Calibri" w:cs="Calibri"/>
                <w:sz w:val="18"/>
                <w:szCs w:val="18"/>
              </w:rPr>
            </w:pPr>
          </w:p>
          <w:p w14:paraId="7E3474E3" w14:textId="77777777" w:rsidR="000653C8" w:rsidRPr="000653C8" w:rsidRDefault="000653C8" w:rsidP="005C1ACA">
            <w:pPr>
              <w:ind w:left="135" w:firstLine="345"/>
              <w:jc w:val="both"/>
              <w:rPr>
                <w:rFonts w:ascii="Calibri" w:eastAsia="Calibri" w:hAnsi="Calibri" w:cs="Calibri"/>
                <w:sz w:val="18"/>
                <w:szCs w:val="18"/>
              </w:rPr>
            </w:pPr>
          </w:p>
          <w:p w14:paraId="3D751722" w14:textId="77777777" w:rsidR="000653C8" w:rsidRPr="000653C8" w:rsidRDefault="000653C8" w:rsidP="005C1ACA">
            <w:pPr>
              <w:ind w:left="135" w:firstLine="345"/>
              <w:jc w:val="both"/>
              <w:rPr>
                <w:rFonts w:ascii="Calibri" w:eastAsia="Calibri" w:hAnsi="Calibri" w:cs="Calibri"/>
                <w:sz w:val="18"/>
                <w:szCs w:val="18"/>
              </w:rPr>
            </w:pPr>
          </w:p>
          <w:p w14:paraId="50055821" w14:textId="77777777" w:rsidR="000653C8" w:rsidRPr="000653C8" w:rsidRDefault="000653C8" w:rsidP="005C1ACA">
            <w:pPr>
              <w:jc w:val="both"/>
              <w:rPr>
                <w:rFonts w:ascii="Calibri" w:eastAsia="Calibri" w:hAnsi="Calibri" w:cs="Calibri"/>
                <w:sz w:val="18"/>
                <w:szCs w:val="18"/>
              </w:rPr>
            </w:pPr>
            <w:r w:rsidRPr="000653C8">
              <w:rPr>
                <w:rFonts w:ascii="Calibri" w:eastAsia="Calibri" w:hAnsi="Calibri" w:cs="Calibri"/>
                <w:sz w:val="18"/>
                <w:szCs w:val="18"/>
              </w:rPr>
              <w:t xml:space="preserve">      Convenio Interadministrativo</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7812CF97" w14:textId="77777777" w:rsidR="000653C8" w:rsidRPr="000653C8" w:rsidRDefault="000653C8" w:rsidP="005C1ACA">
            <w:pPr>
              <w:ind w:left="75" w:right="60"/>
              <w:jc w:val="both"/>
              <w:rPr>
                <w:rFonts w:ascii="Calibri" w:eastAsia="Calibri" w:hAnsi="Calibri" w:cs="Calibri"/>
                <w:sz w:val="18"/>
                <w:szCs w:val="18"/>
              </w:rPr>
            </w:pPr>
          </w:p>
          <w:p w14:paraId="04B2B963" w14:textId="77777777" w:rsidR="000653C8" w:rsidRPr="000653C8" w:rsidRDefault="000653C8" w:rsidP="005C1ACA">
            <w:pPr>
              <w:ind w:left="75" w:right="60"/>
              <w:jc w:val="both"/>
              <w:rPr>
                <w:rFonts w:ascii="Calibri" w:eastAsia="Calibri" w:hAnsi="Calibri" w:cs="Calibri"/>
                <w:sz w:val="18"/>
                <w:szCs w:val="18"/>
              </w:rPr>
            </w:pPr>
          </w:p>
          <w:p w14:paraId="577EC33C" w14:textId="77777777" w:rsidR="000653C8" w:rsidRPr="000653C8" w:rsidRDefault="000653C8" w:rsidP="005C1ACA">
            <w:pPr>
              <w:ind w:left="75" w:right="60"/>
              <w:jc w:val="both"/>
              <w:rPr>
                <w:rFonts w:ascii="Calibri" w:eastAsia="Calibri" w:hAnsi="Calibri" w:cs="Calibri"/>
                <w:sz w:val="18"/>
                <w:szCs w:val="18"/>
              </w:rPr>
            </w:pPr>
          </w:p>
          <w:p w14:paraId="3514BE72"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522 de 2015</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77DAF999"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Instituto Distrital de la Participación y la Acción Comunal IDPAC</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26A648C9" w14:textId="77777777" w:rsidR="000653C8" w:rsidRPr="000653C8" w:rsidRDefault="000653C8" w:rsidP="005C1ACA">
            <w:pPr>
              <w:ind w:left="150" w:right="135"/>
              <w:jc w:val="both"/>
              <w:rPr>
                <w:rFonts w:ascii="Calibri" w:eastAsia="Calibri" w:hAnsi="Calibri" w:cs="Calibri"/>
                <w:sz w:val="18"/>
                <w:szCs w:val="18"/>
              </w:rPr>
            </w:pPr>
            <w:r w:rsidRPr="000653C8">
              <w:rPr>
                <w:rFonts w:ascii="Calibri" w:eastAsia="Calibri" w:hAnsi="Calibri" w:cs="Calibri"/>
                <w:sz w:val="18"/>
                <w:szCs w:val="18"/>
              </w:rPr>
              <w:t>Desarrollar el diagnóstico de administración y aplicación de justicia propia de Catorce Pueblos Indígenas residentes en Bogotá, D.C.</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54431791"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5 meses</w:t>
            </w:r>
          </w:p>
        </w:tc>
      </w:tr>
      <w:tr w:rsidR="000653C8" w:rsidRPr="000653C8" w14:paraId="7C36C3CE" w14:textId="77777777" w:rsidTr="000653C8">
        <w:trPr>
          <w:trHeight w:val="2295"/>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73D47B2A"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2015 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3985E6C1" w14:textId="77777777" w:rsidR="000653C8" w:rsidRPr="000653C8" w:rsidRDefault="000653C8" w:rsidP="005C1ACA">
            <w:pPr>
              <w:ind w:left="135" w:firstLine="34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60F2548D"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9578 de </w:t>
            </w:r>
          </w:p>
          <w:p w14:paraId="4BA28847"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2015 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3552EA94"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48FE00FD" w14:textId="77777777" w:rsidR="000653C8" w:rsidRPr="000653C8" w:rsidRDefault="000653C8" w:rsidP="005C1ACA">
            <w:pPr>
              <w:ind w:left="150" w:right="135"/>
              <w:jc w:val="both"/>
              <w:rPr>
                <w:rFonts w:ascii="Calibri" w:eastAsia="Calibri" w:hAnsi="Calibri" w:cs="Calibri"/>
                <w:sz w:val="18"/>
                <w:szCs w:val="18"/>
              </w:rPr>
            </w:pPr>
            <w:r w:rsidRPr="000653C8">
              <w:rPr>
                <w:rFonts w:ascii="Calibri" w:eastAsia="Calibri" w:hAnsi="Calibri" w:cs="Calibri"/>
                <w:sz w:val="18"/>
                <w:szCs w:val="18"/>
              </w:rPr>
              <w:t>Prestar el servicio social Mi Vital Alimentario a las familias pertenecientes al CABILDO INDIGENA AMBIKA ETNIA PIJAO en </w:t>
            </w:r>
          </w:p>
          <w:p w14:paraId="5378BFDA" w14:textId="77777777" w:rsidR="000653C8" w:rsidRPr="000653C8" w:rsidRDefault="000653C8" w:rsidP="005C1ACA">
            <w:pPr>
              <w:ind w:left="105" w:right="105"/>
              <w:jc w:val="both"/>
              <w:rPr>
                <w:rFonts w:ascii="Calibri" w:eastAsia="Calibri" w:hAnsi="Calibri" w:cs="Calibri"/>
                <w:sz w:val="18"/>
                <w:szCs w:val="18"/>
              </w:rPr>
            </w:pPr>
            <w:r w:rsidRPr="000653C8">
              <w:rPr>
                <w:rFonts w:ascii="Calibri" w:eastAsia="Calibri" w:hAnsi="Calibri" w:cs="Calibri"/>
                <w:sz w:val="18"/>
                <w:szCs w:val="18"/>
              </w:rPr>
              <w:t>situación de inseguridad alimentaria, a través de la implementación de acciones de inclusión social y apoyo alimentario, bajo la Modalidad de Canasta Complementaria de </w:t>
            </w:r>
          </w:p>
          <w:p w14:paraId="5A64F525"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Alimentos.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6E1D7C4F"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10 meses </w:t>
            </w:r>
          </w:p>
        </w:tc>
      </w:tr>
      <w:tr w:rsidR="000653C8" w:rsidRPr="000653C8" w14:paraId="025D00EA" w14:textId="77777777" w:rsidTr="000653C8">
        <w:trPr>
          <w:trHeight w:val="228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5C029F42"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lastRenderedPageBreak/>
              <w:t>2014 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6BA496B1" w14:textId="77777777" w:rsidR="000653C8" w:rsidRPr="000653C8" w:rsidRDefault="000653C8" w:rsidP="005C1ACA">
            <w:pPr>
              <w:ind w:left="135" w:firstLine="34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2435FDD6"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9449 de </w:t>
            </w:r>
          </w:p>
          <w:p w14:paraId="4657C632"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2015 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305B42A2"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38180BDB"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Contratar los servicios especializados para elaborar un diagnóstico psicosocial del proceso de envejecimiento y su impacto en la vejez de personas de los sectores sociales indígenas y la construcción de lineamientos para la atención diferencial dirigida a proveer un envejecimiento activo de las personas </w:t>
            </w:r>
          </w:p>
          <w:p w14:paraId="0D8BA395" w14:textId="77777777" w:rsidR="000653C8" w:rsidRPr="000653C8" w:rsidRDefault="000653C8" w:rsidP="005C1ACA">
            <w:pPr>
              <w:ind w:left="90" w:right="90"/>
              <w:jc w:val="both"/>
              <w:rPr>
                <w:rFonts w:ascii="Calibri" w:eastAsia="Calibri" w:hAnsi="Calibri" w:cs="Calibri"/>
                <w:sz w:val="18"/>
                <w:szCs w:val="18"/>
              </w:rPr>
            </w:pPr>
            <w:r w:rsidRPr="000653C8">
              <w:rPr>
                <w:rFonts w:ascii="Calibri" w:eastAsia="Calibri" w:hAnsi="Calibri" w:cs="Calibri"/>
                <w:sz w:val="18"/>
                <w:szCs w:val="18"/>
              </w:rPr>
              <w:t>de estos sectores del distrito capital.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410F487F" w14:textId="77777777" w:rsidR="000653C8" w:rsidRPr="000653C8" w:rsidRDefault="000653C8" w:rsidP="005C1ACA">
            <w:pPr>
              <w:ind w:left="255" w:right="240"/>
              <w:jc w:val="both"/>
              <w:rPr>
                <w:rFonts w:ascii="Calibri" w:eastAsia="Calibri" w:hAnsi="Calibri" w:cs="Calibri"/>
                <w:sz w:val="18"/>
                <w:szCs w:val="18"/>
              </w:rPr>
            </w:pPr>
            <w:r w:rsidRPr="000653C8">
              <w:rPr>
                <w:rFonts w:ascii="Calibri" w:eastAsia="Calibri" w:hAnsi="Calibri" w:cs="Calibri"/>
                <w:sz w:val="18"/>
                <w:szCs w:val="18"/>
              </w:rPr>
              <w:t>5 meses </w:t>
            </w:r>
          </w:p>
        </w:tc>
      </w:tr>
      <w:tr w:rsidR="000653C8" w:rsidRPr="000653C8" w14:paraId="0CA24103" w14:textId="77777777" w:rsidTr="000653C8">
        <w:trPr>
          <w:trHeight w:val="297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44F8BD24" w14:textId="77777777" w:rsidR="000653C8" w:rsidRPr="000653C8" w:rsidRDefault="000653C8" w:rsidP="005C1ACA">
            <w:pPr>
              <w:jc w:val="both"/>
              <w:rPr>
                <w:rFonts w:ascii="Calibri" w:eastAsia="Calibri" w:hAnsi="Calibri" w:cs="Calibri"/>
                <w:sz w:val="18"/>
                <w:szCs w:val="18"/>
              </w:rPr>
            </w:pPr>
            <w:r w:rsidRPr="000653C8">
              <w:rPr>
                <w:rFonts w:ascii="Calibri" w:eastAsia="Calibri" w:hAnsi="Calibri" w:cs="Calibri"/>
                <w:sz w:val="18"/>
                <w:szCs w:val="18"/>
              </w:rPr>
              <w:t> </w:t>
            </w:r>
          </w:p>
          <w:p w14:paraId="157CE766" w14:textId="77777777" w:rsidR="000653C8" w:rsidRPr="000653C8" w:rsidRDefault="000653C8" w:rsidP="005C1ACA">
            <w:pPr>
              <w:jc w:val="both"/>
              <w:rPr>
                <w:rFonts w:ascii="Calibri" w:eastAsia="Calibri" w:hAnsi="Calibri" w:cs="Calibri"/>
                <w:sz w:val="18"/>
                <w:szCs w:val="18"/>
              </w:rPr>
            </w:pPr>
            <w:r w:rsidRPr="000653C8">
              <w:rPr>
                <w:rFonts w:ascii="Calibri" w:eastAsia="Calibri" w:hAnsi="Calibri" w:cs="Calibri"/>
                <w:sz w:val="18"/>
                <w:szCs w:val="18"/>
              </w:rPr>
              <w:t> </w:t>
            </w:r>
          </w:p>
          <w:p w14:paraId="73C5EBF3" w14:textId="77777777" w:rsidR="000653C8" w:rsidRPr="000653C8" w:rsidRDefault="000653C8" w:rsidP="005C1ACA">
            <w:pPr>
              <w:ind w:right="135"/>
              <w:jc w:val="both"/>
              <w:rPr>
                <w:rFonts w:ascii="Calibri" w:eastAsia="Calibri" w:hAnsi="Calibri" w:cs="Calibri"/>
                <w:sz w:val="18"/>
                <w:szCs w:val="18"/>
              </w:rPr>
            </w:pPr>
            <w:r w:rsidRPr="000653C8">
              <w:rPr>
                <w:rFonts w:ascii="Calibri" w:eastAsia="Calibri" w:hAnsi="Calibri" w:cs="Calibri"/>
                <w:sz w:val="18"/>
                <w:szCs w:val="18"/>
              </w:rPr>
              <w:t>2013 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0AF9B674" w14:textId="77777777" w:rsidR="000653C8" w:rsidRPr="000653C8" w:rsidRDefault="000653C8" w:rsidP="005C1ACA">
            <w:pPr>
              <w:ind w:left="135" w:firstLine="34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28D92648"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6645 de </w:t>
            </w:r>
          </w:p>
          <w:p w14:paraId="2D9E5D17" w14:textId="77777777" w:rsidR="000653C8" w:rsidRPr="000653C8" w:rsidRDefault="000653C8" w:rsidP="005C1ACA">
            <w:pPr>
              <w:ind w:left="75" w:right="60"/>
              <w:jc w:val="both"/>
              <w:rPr>
                <w:rFonts w:ascii="Calibri" w:eastAsia="Calibri" w:hAnsi="Calibri" w:cs="Calibri"/>
                <w:sz w:val="18"/>
                <w:szCs w:val="18"/>
              </w:rPr>
            </w:pPr>
            <w:r w:rsidRPr="000653C8">
              <w:rPr>
                <w:rFonts w:ascii="Calibri" w:eastAsia="Calibri" w:hAnsi="Calibri" w:cs="Calibri"/>
                <w:sz w:val="18"/>
                <w:szCs w:val="18"/>
              </w:rPr>
              <w:t>2013 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2F661964" w14:textId="77777777" w:rsidR="000653C8" w:rsidRPr="000653C8" w:rsidRDefault="000653C8" w:rsidP="005C1ACA">
            <w:pPr>
              <w:ind w:left="120" w:right="105"/>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7AE8E997" w14:textId="77777777" w:rsidR="000653C8" w:rsidRPr="000653C8" w:rsidRDefault="000653C8" w:rsidP="005C1ACA">
            <w:pPr>
              <w:ind w:left="90" w:right="75"/>
              <w:jc w:val="both"/>
              <w:rPr>
                <w:rFonts w:ascii="Calibri" w:eastAsia="Calibri" w:hAnsi="Calibri" w:cs="Calibri"/>
                <w:sz w:val="18"/>
                <w:szCs w:val="18"/>
              </w:rPr>
            </w:pPr>
            <w:r w:rsidRPr="000653C8">
              <w:rPr>
                <w:rFonts w:ascii="Calibri" w:eastAsia="Calibri" w:hAnsi="Calibri" w:cs="Calibri"/>
                <w:sz w:val="18"/>
                <w:szCs w:val="18"/>
              </w:rPr>
              <w:t>Operar el Servicio Social de Atención Integral a familias en situación de inseguridad alimentaria y nutricional a través de la entrega de canasta complementaria de alimentos para familias Indígenas, mediante la cual se promueve la seguridad alimentaria y nutricional y se ejecutan las acciones establecidas por la secretaría Distrital de Integración Social para incentivar el proceso de inclusión social a familias pertenecientes al CABILDO INDIGENA AMBIKA ETNIA PIJAO.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54564502" w14:textId="77777777" w:rsidR="000653C8" w:rsidRPr="000653C8" w:rsidRDefault="000653C8" w:rsidP="005C1ACA">
            <w:pPr>
              <w:ind w:left="315"/>
              <w:jc w:val="both"/>
              <w:rPr>
                <w:rFonts w:ascii="Calibri" w:eastAsia="Calibri" w:hAnsi="Calibri" w:cs="Calibri"/>
                <w:sz w:val="18"/>
                <w:szCs w:val="18"/>
              </w:rPr>
            </w:pPr>
            <w:r w:rsidRPr="000653C8">
              <w:rPr>
                <w:rFonts w:ascii="Calibri" w:eastAsia="Calibri" w:hAnsi="Calibri" w:cs="Calibri"/>
                <w:sz w:val="18"/>
                <w:szCs w:val="18"/>
              </w:rPr>
              <w:t>9 meses </w:t>
            </w:r>
          </w:p>
        </w:tc>
      </w:tr>
      <w:tr w:rsidR="000653C8" w:rsidRPr="000653C8" w14:paraId="1D142925" w14:textId="77777777" w:rsidTr="000653C8">
        <w:trPr>
          <w:trHeight w:val="3660"/>
          <w:jc w:val="center"/>
        </w:trPr>
        <w:tc>
          <w:tcPr>
            <w:tcW w:w="843" w:type="dxa"/>
            <w:tcBorders>
              <w:top w:val="single" w:sz="6" w:space="0" w:color="000000"/>
              <w:left w:val="single" w:sz="6" w:space="0" w:color="000000"/>
              <w:bottom w:val="single" w:sz="6" w:space="0" w:color="000000"/>
              <w:right w:val="single" w:sz="6" w:space="0" w:color="000000"/>
            </w:tcBorders>
            <w:shd w:val="clear" w:color="auto" w:fill="auto"/>
          </w:tcPr>
          <w:p w14:paraId="47A4B70D" w14:textId="77777777" w:rsidR="000653C8" w:rsidRPr="000653C8" w:rsidRDefault="000653C8" w:rsidP="005C1ACA">
            <w:pPr>
              <w:ind w:right="75"/>
              <w:jc w:val="both"/>
              <w:rPr>
                <w:rFonts w:ascii="Calibri" w:eastAsia="Calibri" w:hAnsi="Calibri" w:cs="Calibri"/>
                <w:sz w:val="18"/>
                <w:szCs w:val="18"/>
              </w:rPr>
            </w:pPr>
            <w:r w:rsidRPr="000653C8">
              <w:rPr>
                <w:rFonts w:ascii="Calibri" w:eastAsia="Calibri" w:hAnsi="Calibri" w:cs="Calibri"/>
                <w:sz w:val="18"/>
                <w:szCs w:val="18"/>
              </w:rPr>
              <w:t>2012 </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150F58F3" w14:textId="77777777" w:rsidR="000653C8" w:rsidRPr="000653C8" w:rsidRDefault="000653C8" w:rsidP="005C1ACA">
            <w:pPr>
              <w:ind w:left="105"/>
              <w:jc w:val="both"/>
              <w:rPr>
                <w:rFonts w:ascii="Calibri" w:eastAsia="Calibri" w:hAnsi="Calibri" w:cs="Calibri"/>
                <w:sz w:val="18"/>
                <w:szCs w:val="18"/>
              </w:rPr>
            </w:pPr>
            <w:r w:rsidRPr="000653C8">
              <w:rPr>
                <w:rFonts w:ascii="Calibri" w:eastAsia="Calibri" w:hAnsi="Calibri" w:cs="Calibri"/>
                <w:sz w:val="18"/>
                <w:szCs w:val="18"/>
              </w:rPr>
              <w:t>Contrato Interadministrativo </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08D412FC" w14:textId="77777777" w:rsidR="000653C8" w:rsidRPr="000653C8" w:rsidRDefault="000653C8" w:rsidP="005C1ACA">
            <w:pPr>
              <w:ind w:left="105"/>
              <w:jc w:val="both"/>
              <w:rPr>
                <w:rFonts w:ascii="Calibri" w:eastAsia="Calibri" w:hAnsi="Calibri" w:cs="Calibri"/>
                <w:sz w:val="18"/>
                <w:szCs w:val="18"/>
              </w:rPr>
            </w:pPr>
            <w:r w:rsidRPr="000653C8">
              <w:rPr>
                <w:rFonts w:ascii="Calibri" w:eastAsia="Calibri" w:hAnsi="Calibri" w:cs="Calibri"/>
                <w:sz w:val="18"/>
                <w:szCs w:val="18"/>
              </w:rPr>
              <w:t>2735 de </w:t>
            </w:r>
          </w:p>
          <w:p w14:paraId="4AE90392" w14:textId="77777777" w:rsidR="000653C8" w:rsidRPr="000653C8" w:rsidRDefault="000653C8" w:rsidP="005C1ACA">
            <w:pPr>
              <w:ind w:left="105"/>
              <w:jc w:val="both"/>
              <w:rPr>
                <w:rFonts w:ascii="Calibri" w:eastAsia="Calibri" w:hAnsi="Calibri" w:cs="Calibri"/>
                <w:sz w:val="18"/>
                <w:szCs w:val="18"/>
              </w:rPr>
            </w:pPr>
            <w:r w:rsidRPr="000653C8">
              <w:rPr>
                <w:rFonts w:ascii="Calibri" w:eastAsia="Calibri" w:hAnsi="Calibri" w:cs="Calibri"/>
                <w:sz w:val="18"/>
                <w:szCs w:val="18"/>
              </w:rPr>
              <w:t>2012 </w:t>
            </w:r>
          </w:p>
        </w:tc>
        <w:tc>
          <w:tcPr>
            <w:tcW w:w="1418" w:type="dxa"/>
            <w:tcBorders>
              <w:top w:val="single" w:sz="6" w:space="0" w:color="000000"/>
              <w:left w:val="single" w:sz="6" w:space="0" w:color="000000"/>
              <w:bottom w:val="single" w:sz="6" w:space="0" w:color="000000"/>
              <w:right w:val="single" w:sz="6" w:space="0" w:color="000000"/>
            </w:tcBorders>
            <w:shd w:val="clear" w:color="auto" w:fill="auto"/>
          </w:tcPr>
          <w:p w14:paraId="683AD074" w14:textId="77777777" w:rsidR="000653C8" w:rsidRPr="000653C8" w:rsidRDefault="000653C8" w:rsidP="005C1ACA">
            <w:pPr>
              <w:ind w:left="90" w:right="120"/>
              <w:jc w:val="both"/>
              <w:rPr>
                <w:rFonts w:ascii="Calibri" w:eastAsia="Calibri" w:hAnsi="Calibri" w:cs="Calibri"/>
                <w:sz w:val="18"/>
                <w:szCs w:val="18"/>
              </w:rPr>
            </w:pPr>
            <w:r w:rsidRPr="000653C8">
              <w:rPr>
                <w:rFonts w:ascii="Calibri" w:eastAsia="Calibri" w:hAnsi="Calibri" w:cs="Calibri"/>
                <w:sz w:val="18"/>
                <w:szCs w:val="18"/>
              </w:rPr>
              <w:t>Secretaría Distrital de Integración Social </w:t>
            </w:r>
          </w:p>
        </w:tc>
        <w:tc>
          <w:tcPr>
            <w:tcW w:w="3827" w:type="dxa"/>
            <w:tcBorders>
              <w:top w:val="single" w:sz="6" w:space="0" w:color="000000"/>
              <w:left w:val="single" w:sz="6" w:space="0" w:color="000000"/>
              <w:bottom w:val="single" w:sz="6" w:space="0" w:color="000000"/>
              <w:right w:val="single" w:sz="6" w:space="0" w:color="000000"/>
            </w:tcBorders>
            <w:shd w:val="clear" w:color="auto" w:fill="auto"/>
          </w:tcPr>
          <w:p w14:paraId="335BD8DE" w14:textId="77777777" w:rsidR="000653C8" w:rsidRPr="000653C8" w:rsidRDefault="000653C8" w:rsidP="005C1ACA">
            <w:pPr>
              <w:ind w:left="90" w:right="75"/>
              <w:jc w:val="both"/>
              <w:rPr>
                <w:rFonts w:ascii="Calibri" w:eastAsia="Calibri" w:hAnsi="Calibri" w:cs="Calibri"/>
                <w:sz w:val="18"/>
                <w:szCs w:val="18"/>
              </w:rPr>
            </w:pPr>
            <w:r w:rsidRPr="000653C8">
              <w:rPr>
                <w:rFonts w:ascii="Calibri" w:eastAsia="Calibri" w:hAnsi="Calibri" w:cs="Calibri"/>
                <w:sz w:val="18"/>
                <w:szCs w:val="18"/>
              </w:rPr>
              <w:t>Operar el Servicio Social de Atención Integral a familias en situación de inseguridad alimentaria y nutricional a través de la entrega de canasta complementaria de alimentos para familias Indígenas, mediante la cual se promueve la seguridad alimentaria y nutricional y se ejecutan las acciones establecidas por la Secretaría Distrital de Integración Social para incentivar el proceso de inclusión social a familias pertenecientes al CABILDO INDIGENA AMBIKA ETNIA PIJAO y  otras pertenecientes a otras comunidades indígenas que residan  en la localidad de USME </w:t>
            </w:r>
          </w:p>
        </w:tc>
        <w:tc>
          <w:tcPr>
            <w:tcW w:w="1417" w:type="dxa"/>
            <w:tcBorders>
              <w:top w:val="single" w:sz="6" w:space="0" w:color="000000"/>
              <w:left w:val="single" w:sz="6" w:space="0" w:color="000000"/>
              <w:bottom w:val="single" w:sz="6" w:space="0" w:color="000000"/>
              <w:right w:val="single" w:sz="6" w:space="0" w:color="000000"/>
            </w:tcBorders>
            <w:shd w:val="clear" w:color="auto" w:fill="auto"/>
          </w:tcPr>
          <w:p w14:paraId="659B979C" w14:textId="77777777" w:rsidR="000653C8" w:rsidRPr="000653C8" w:rsidRDefault="000653C8" w:rsidP="005C1ACA">
            <w:pPr>
              <w:ind w:left="105"/>
              <w:jc w:val="both"/>
              <w:rPr>
                <w:rFonts w:ascii="Calibri" w:eastAsia="Calibri" w:hAnsi="Calibri" w:cs="Calibri"/>
                <w:sz w:val="18"/>
                <w:szCs w:val="18"/>
              </w:rPr>
            </w:pPr>
            <w:r w:rsidRPr="000653C8">
              <w:rPr>
                <w:rFonts w:ascii="Calibri" w:eastAsia="Calibri" w:hAnsi="Calibri" w:cs="Calibri"/>
                <w:sz w:val="18"/>
                <w:szCs w:val="18"/>
              </w:rPr>
              <w:t>10 meses </w:t>
            </w:r>
          </w:p>
        </w:tc>
      </w:tr>
    </w:tbl>
    <w:p w14:paraId="0CB8B96C" w14:textId="77777777" w:rsidR="00D75AA4" w:rsidRPr="00FD7602" w:rsidRDefault="00D75AA4"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25AE1A7C" w14:textId="77777777" w:rsidR="00696F47" w:rsidRPr="00FD7602" w:rsidRDefault="00696F47"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233ACE02" w14:textId="77777777" w:rsidR="004542A0" w:rsidRPr="00FD7602" w:rsidRDefault="004542A0" w:rsidP="00B94294">
      <w:pPr>
        <w:pStyle w:val="Estilo1TituloEstudiodelsector"/>
        <w:numPr>
          <w:ilvl w:val="0"/>
          <w:numId w:val="0"/>
        </w:numPr>
        <w:ind w:left="720" w:hanging="720"/>
        <w:rPr>
          <w:rFonts w:cs="Times New Roman"/>
          <w:b w:val="0"/>
          <w:bCs/>
          <w:sz w:val="22"/>
          <w:szCs w:val="22"/>
          <w:lang w:val="es-MX" w:eastAsia="es-CO"/>
        </w:rPr>
      </w:pPr>
      <w:r w:rsidRPr="00FD7602">
        <w:rPr>
          <w:rFonts w:cs="Times New Roman"/>
          <w:b w:val="0"/>
          <w:bCs/>
          <w:sz w:val="22"/>
          <w:szCs w:val="22"/>
          <w:lang w:val="es-MX" w:eastAsia="es-CO"/>
        </w:rPr>
        <w:t>Análisis de Valor</w:t>
      </w:r>
    </w:p>
    <w:p w14:paraId="21FDD6BB" w14:textId="77777777" w:rsidR="00B94294" w:rsidRPr="00FD7602" w:rsidRDefault="00B94294" w:rsidP="00B94294">
      <w:pPr>
        <w:pStyle w:val="Estilo1TituloEstudiodelsector"/>
        <w:numPr>
          <w:ilvl w:val="0"/>
          <w:numId w:val="0"/>
        </w:numPr>
        <w:rPr>
          <w:rFonts w:cs="Times New Roman"/>
          <w:sz w:val="22"/>
          <w:szCs w:val="22"/>
          <w:lang w:val="es-MX" w:eastAsia="es-CO"/>
        </w:rPr>
      </w:pPr>
    </w:p>
    <w:p w14:paraId="222379A9" w14:textId="77777777" w:rsidR="004542A0" w:rsidRPr="00FD7602" w:rsidRDefault="004542A0" w:rsidP="004542A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r w:rsidRPr="00FD7602">
        <w:rPr>
          <w:rFonts w:ascii="Garamond" w:hAnsi="Garamond"/>
          <w:sz w:val="22"/>
          <w:szCs w:val="22"/>
        </w:rPr>
        <w:t>De acuerdo con el análisis de costos que hace parte integral del proceso, la oferta que se seleccione deberá encontrarse ajustada a los valores de referencia, a las condiciones del mercado y a la complejidad cultural y logística del proyecto, garantizando equilibrio entre eficiencia económica, calidad técnica, pertinencia cultural e impacto social.</w:t>
      </w:r>
    </w:p>
    <w:p w14:paraId="45FF04F0" w14:textId="77777777" w:rsidR="004542A0" w:rsidRPr="00FD7602" w:rsidRDefault="004542A0" w:rsidP="00D54C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eastAsiaTheme="minorEastAsia" w:hAnsi="Garamond"/>
          <w:color w:val="000000"/>
          <w:sz w:val="22"/>
          <w:szCs w:val="22"/>
          <w:lang w:val="es-MX" w:eastAsia="es-CO"/>
          <w14:ligatures w14:val="standardContextual"/>
        </w:rPr>
      </w:pPr>
    </w:p>
    <w:p w14:paraId="636D3C09" w14:textId="77777777" w:rsidR="000325DA" w:rsidRPr="00FD7602" w:rsidRDefault="000325DA" w:rsidP="004542A0">
      <w:pPr>
        <w:rPr>
          <w:rFonts w:ascii="Garamond" w:eastAsiaTheme="minorEastAsia" w:hAnsi="Garamond"/>
          <w:color w:val="000000"/>
          <w:sz w:val="22"/>
          <w:szCs w:val="22"/>
          <w:lang w:val="es-MX" w:eastAsia="es-CO"/>
          <w14:ligatures w14:val="standardContextual"/>
        </w:rPr>
      </w:pPr>
    </w:p>
    <w:p w14:paraId="2F004C42" w14:textId="77777777" w:rsidR="001A0216" w:rsidRPr="00FD7602" w:rsidRDefault="001A0216" w:rsidP="001A0216">
      <w:pPr>
        <w:pStyle w:val="Estilo1TituloEstudiodelsector"/>
        <w:numPr>
          <w:ilvl w:val="1"/>
          <w:numId w:val="40"/>
        </w:numPr>
        <w:rPr>
          <w:sz w:val="22"/>
          <w:szCs w:val="22"/>
        </w:rPr>
      </w:pPr>
      <w:r w:rsidRPr="00FD7602">
        <w:rPr>
          <w:sz w:val="22"/>
          <w:szCs w:val="22"/>
        </w:rPr>
        <w:t>ANÁLISIS DE LA DEMANDA</w:t>
      </w:r>
    </w:p>
    <w:p w14:paraId="397A516D" w14:textId="77777777" w:rsidR="001A0216" w:rsidRPr="00FD7602" w:rsidRDefault="001A0216" w:rsidP="001A0216">
      <w:pPr>
        <w:pStyle w:val="Estilo1TituloEstudiodelsector"/>
        <w:numPr>
          <w:ilvl w:val="0"/>
          <w:numId w:val="0"/>
        </w:numPr>
        <w:rPr>
          <w:sz w:val="22"/>
          <w:szCs w:val="22"/>
        </w:rPr>
      </w:pPr>
    </w:p>
    <w:p w14:paraId="24928716" w14:textId="77777777" w:rsidR="001A0216" w:rsidRPr="00FD7602" w:rsidRDefault="001A0216" w:rsidP="001A0216">
      <w:pPr>
        <w:keepNext/>
        <w:tabs>
          <w:tab w:val="left" w:pos="8080"/>
        </w:tabs>
        <w:autoSpaceDE w:val="0"/>
        <w:autoSpaceDN w:val="0"/>
        <w:jc w:val="both"/>
        <w:rPr>
          <w:rFonts w:ascii="Garamond" w:hAnsi="Garamond" w:cs="Arial"/>
          <w:b/>
          <w:bCs/>
          <w:sz w:val="22"/>
          <w:szCs w:val="22"/>
        </w:rPr>
      </w:pPr>
      <w:r w:rsidRPr="00FD7602">
        <w:rPr>
          <w:rFonts w:ascii="Garamond" w:hAnsi="Garamond" w:cs="Arial"/>
          <w:b/>
          <w:bCs/>
          <w:sz w:val="22"/>
          <w:szCs w:val="22"/>
        </w:rPr>
        <w:t>MODELO DE ABASTECIMIENTO ESTRATÉGICO – MAE</w:t>
      </w:r>
    </w:p>
    <w:p w14:paraId="24550B38" w14:textId="77777777" w:rsidR="001A0216" w:rsidRPr="00FD7602" w:rsidRDefault="001A0216" w:rsidP="001A0216">
      <w:pPr>
        <w:keepNext/>
        <w:tabs>
          <w:tab w:val="left" w:pos="8080"/>
        </w:tabs>
        <w:autoSpaceDE w:val="0"/>
        <w:autoSpaceDN w:val="0"/>
        <w:jc w:val="both"/>
        <w:rPr>
          <w:rFonts w:ascii="Garamond" w:hAnsi="Garamond" w:cs="Arial"/>
          <w:b/>
          <w:bCs/>
          <w:sz w:val="22"/>
          <w:szCs w:val="22"/>
        </w:rPr>
      </w:pPr>
      <w:r w:rsidRPr="00FD7602">
        <w:rPr>
          <w:rFonts w:ascii="Garamond" w:hAnsi="Garamond" w:cs="Arial"/>
          <w:b/>
          <w:bCs/>
          <w:sz w:val="22"/>
          <w:szCs w:val="22"/>
        </w:rPr>
        <w:t xml:space="preserve">HERRAMIENTA DE VISUALIZACIÓN PARA EL ANÁLISIS DE LA DEMANDA </w:t>
      </w:r>
    </w:p>
    <w:p w14:paraId="6D9C2DF8" w14:textId="77777777" w:rsidR="001A0216" w:rsidRPr="00FD7602" w:rsidRDefault="001A0216" w:rsidP="001A0216">
      <w:pPr>
        <w:keepNext/>
        <w:tabs>
          <w:tab w:val="left" w:pos="8080"/>
        </w:tabs>
        <w:autoSpaceDE w:val="0"/>
        <w:autoSpaceDN w:val="0"/>
        <w:jc w:val="both"/>
        <w:rPr>
          <w:rFonts w:ascii="Garamond" w:hAnsi="Garamond" w:cs="Arial"/>
          <w:b/>
          <w:bCs/>
          <w:sz w:val="22"/>
          <w:szCs w:val="22"/>
        </w:rPr>
      </w:pPr>
    </w:p>
    <w:p w14:paraId="1B9C8000" w14:textId="77777777" w:rsidR="001A0216" w:rsidRPr="00FD7602" w:rsidRDefault="001A0216" w:rsidP="001A0216">
      <w:pPr>
        <w:keepNext/>
        <w:tabs>
          <w:tab w:val="left" w:pos="8080"/>
        </w:tabs>
        <w:autoSpaceDE w:val="0"/>
        <w:autoSpaceDN w:val="0"/>
        <w:jc w:val="both"/>
        <w:rPr>
          <w:rFonts w:ascii="Garamond" w:hAnsi="Garamond" w:cs="Arial"/>
          <w:sz w:val="22"/>
          <w:szCs w:val="22"/>
        </w:rPr>
      </w:pPr>
      <w:r w:rsidRPr="00FD7602">
        <w:rPr>
          <w:rFonts w:ascii="Garamond" w:hAnsi="Garamond" w:cs="Arial"/>
          <w:sz w:val="22"/>
          <w:szCs w:val="22"/>
        </w:rPr>
        <w:t xml:space="preserve">La Agencia Nacional de Contratación – Colombia Compra Eficiente pone a disposición de las entidades estatales, la herramienta de visualización para el Análisis de Demanda, la cual permite de manera integral visualizar el comportamiento de compras histórico de la entidad. </w:t>
      </w:r>
    </w:p>
    <w:p w14:paraId="5DE7520C" w14:textId="77777777" w:rsidR="001A0216" w:rsidRPr="00FD7602" w:rsidRDefault="001A0216" w:rsidP="001A0216">
      <w:pPr>
        <w:shd w:val="clear" w:color="auto" w:fill="FFFFFF"/>
        <w:tabs>
          <w:tab w:val="left" w:pos="8080"/>
        </w:tabs>
        <w:jc w:val="both"/>
        <w:rPr>
          <w:rFonts w:ascii="Garamond" w:hAnsi="Garamond" w:cs="Arial"/>
          <w:sz w:val="22"/>
          <w:szCs w:val="22"/>
        </w:rPr>
      </w:pPr>
    </w:p>
    <w:p w14:paraId="0E436C3B" w14:textId="77777777" w:rsidR="001A0216" w:rsidRPr="00FD7602" w:rsidRDefault="001A0216" w:rsidP="001A0216">
      <w:pPr>
        <w:pStyle w:val="Textoindependiente"/>
        <w:tabs>
          <w:tab w:val="left" w:pos="8080"/>
        </w:tabs>
        <w:jc w:val="both"/>
        <w:rPr>
          <w:rFonts w:ascii="Garamond" w:hAnsi="Garamond"/>
          <w:sz w:val="22"/>
          <w:szCs w:val="22"/>
        </w:rPr>
      </w:pPr>
      <w:r w:rsidRPr="00FD7602">
        <w:rPr>
          <w:rFonts w:ascii="Garamond" w:hAnsi="Garamond"/>
          <w:sz w:val="22"/>
          <w:szCs w:val="22"/>
        </w:rPr>
        <w:t>Esta herramienta consolida la información que reposa en el SECOP (I, II y TVEC), presenta de manera organizada y estructurada datos históricos relacionados con las compras de la entidad. Es una herramienta dinámica que permite realizar filtros y búsquedas para hacer más robustos los análisis correspondientes.</w:t>
      </w:r>
    </w:p>
    <w:p w14:paraId="4B9BCD0E" w14:textId="77777777" w:rsidR="001A0216" w:rsidRPr="00FD7602" w:rsidRDefault="001A0216" w:rsidP="001A0216">
      <w:pPr>
        <w:pStyle w:val="Textoindependiente"/>
        <w:tabs>
          <w:tab w:val="left" w:pos="8080"/>
        </w:tabs>
        <w:jc w:val="both"/>
        <w:rPr>
          <w:rFonts w:ascii="Garamond" w:hAnsi="Garamond"/>
          <w:i/>
          <w:iCs/>
          <w:sz w:val="22"/>
          <w:szCs w:val="22"/>
          <w:u w:val="single"/>
        </w:rPr>
      </w:pPr>
    </w:p>
    <w:p w14:paraId="33165FB6" w14:textId="77777777" w:rsidR="001A0216" w:rsidRPr="00FD7602" w:rsidRDefault="001A0216" w:rsidP="001A0216">
      <w:pPr>
        <w:pStyle w:val="Textoindependiente"/>
        <w:tabs>
          <w:tab w:val="left" w:pos="8080"/>
        </w:tabs>
        <w:jc w:val="both"/>
        <w:rPr>
          <w:rFonts w:ascii="Garamond" w:hAnsi="Garamond"/>
          <w:b/>
          <w:bCs/>
          <w:sz w:val="22"/>
          <w:szCs w:val="22"/>
          <w:u w:val="single"/>
        </w:rPr>
      </w:pPr>
      <w:r w:rsidRPr="00FD7602">
        <w:rPr>
          <w:rFonts w:ascii="Garamond" w:hAnsi="Garamond"/>
          <w:b/>
          <w:bCs/>
          <w:sz w:val="22"/>
          <w:szCs w:val="22"/>
          <w:u w:val="single"/>
        </w:rPr>
        <w:t xml:space="preserve">Análisis de la Demanda </w:t>
      </w:r>
    </w:p>
    <w:p w14:paraId="7C62A9D9"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cs="Arial"/>
          <w:bCs/>
          <w:sz w:val="22"/>
          <w:szCs w:val="22"/>
        </w:rPr>
        <w:t>De acuerdo con el análisis de demanda del Modelo de Abastecimiento estratégico – MAE</w:t>
      </w:r>
    </w:p>
    <w:p w14:paraId="701AD6C6" w14:textId="77777777" w:rsidR="001A0216" w:rsidRPr="00FD7602" w:rsidRDefault="001A0216" w:rsidP="001A0216">
      <w:pPr>
        <w:tabs>
          <w:tab w:val="left" w:pos="8080"/>
        </w:tabs>
        <w:jc w:val="both"/>
        <w:rPr>
          <w:rFonts w:ascii="Garamond" w:hAnsi="Garamond" w:cs="Arial"/>
          <w:bCs/>
          <w:sz w:val="22"/>
          <w:szCs w:val="22"/>
        </w:rPr>
      </w:pPr>
    </w:p>
    <w:p w14:paraId="50AE6E54" w14:textId="77777777" w:rsidR="001A0216" w:rsidRPr="00FD7602" w:rsidRDefault="001A0216" w:rsidP="001A0216">
      <w:pPr>
        <w:pStyle w:val="Textoindependiente"/>
        <w:tabs>
          <w:tab w:val="left" w:pos="8080"/>
        </w:tabs>
        <w:spacing w:after="0"/>
        <w:ind w:right="227"/>
        <w:jc w:val="both"/>
        <w:rPr>
          <w:rFonts w:ascii="Garamond" w:hAnsi="Garamond"/>
          <w:bCs/>
          <w:sz w:val="22"/>
          <w:szCs w:val="22"/>
        </w:rPr>
      </w:pPr>
      <w:r w:rsidRPr="00FD7602">
        <w:rPr>
          <w:rFonts w:ascii="Garamond" w:hAnsi="Garamond"/>
          <w:bCs/>
          <w:noProof/>
          <w:sz w:val="22"/>
          <w:szCs w:val="22"/>
          <w14:ligatures w14:val="standardContextual"/>
        </w:rPr>
        <w:drawing>
          <wp:inline distT="0" distB="0" distL="0" distR="0" wp14:anchorId="63C141A7" wp14:editId="08008A2C">
            <wp:extent cx="5612130" cy="2163445"/>
            <wp:effectExtent l="0" t="0" r="7620" b="8255"/>
            <wp:docPr id="1326937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3715" name="Imagen 132693715"/>
                    <pic:cNvPicPr/>
                  </pic:nvPicPr>
                  <pic:blipFill>
                    <a:blip r:embed="rId15">
                      <a:extLst>
                        <a:ext uri="{28A0092B-C50C-407E-A947-70E740481C1C}">
                          <a14:useLocalDpi xmlns:a14="http://schemas.microsoft.com/office/drawing/2010/main" val="0"/>
                        </a:ext>
                      </a:extLst>
                    </a:blip>
                    <a:stretch>
                      <a:fillRect/>
                    </a:stretch>
                  </pic:blipFill>
                  <pic:spPr>
                    <a:xfrm>
                      <a:off x="0" y="0"/>
                      <a:ext cx="5612130" cy="2163445"/>
                    </a:xfrm>
                    <a:prstGeom prst="rect">
                      <a:avLst/>
                    </a:prstGeom>
                  </pic:spPr>
                </pic:pic>
              </a:graphicData>
            </a:graphic>
          </wp:inline>
        </w:drawing>
      </w:r>
    </w:p>
    <w:p w14:paraId="4ECB64DB" w14:textId="77777777" w:rsidR="001A0216" w:rsidRPr="00FD7602" w:rsidRDefault="001A0216" w:rsidP="001A0216">
      <w:pPr>
        <w:tabs>
          <w:tab w:val="left" w:pos="8080"/>
        </w:tabs>
        <w:jc w:val="both"/>
        <w:rPr>
          <w:rFonts w:ascii="Garamond" w:hAnsi="Garamond" w:cs="Arial"/>
          <w:bCs/>
          <w:sz w:val="22"/>
          <w:szCs w:val="22"/>
        </w:rPr>
      </w:pPr>
    </w:p>
    <w:p w14:paraId="6BE90551"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cs="Arial"/>
          <w:bCs/>
          <w:sz w:val="22"/>
          <w:szCs w:val="22"/>
        </w:rPr>
        <w:t>De acuerdo con el análisis de demanda del Modelo de Abastecimiento estratégico – MAE, el gasto realizado entre la vigencia 2026 y lo corrido del año 2026 (1 enero de 2026 al 12 de mayo de 2026) en el portal del SECOP II con la siguiente familia, Clasificador de Bienes y Servicios – Familia 8011- Servicios de recursos humanos, 9314- Servicios comunitarios y sociales, 8010- Servicios de asesoría de gestión, 9010-restaurantes y catering, 8114- Tecnologías de fabricación, 9015- Servicios de entretenimiento, 8212- Servicios de reproducción, 6010- Materiales didácticos profesionales y de desarrollo y accesorios y suministros.</w:t>
      </w:r>
    </w:p>
    <w:p w14:paraId="657DD382" w14:textId="77777777" w:rsidR="001A0216" w:rsidRPr="00FD7602" w:rsidRDefault="001A0216" w:rsidP="001A0216">
      <w:pPr>
        <w:tabs>
          <w:tab w:val="left" w:pos="8080"/>
        </w:tabs>
        <w:jc w:val="both"/>
        <w:rPr>
          <w:rFonts w:ascii="Garamond" w:hAnsi="Garamond" w:cs="Arial"/>
          <w:sz w:val="22"/>
          <w:szCs w:val="22"/>
        </w:rPr>
      </w:pPr>
      <w:r w:rsidRPr="00FD7602">
        <w:rPr>
          <w:rFonts w:ascii="Garamond" w:hAnsi="Garamond" w:cs="Arial"/>
          <w:noProof/>
          <w:sz w:val="22"/>
          <w:szCs w:val="22"/>
          <w14:ligatures w14:val="standardContextual"/>
        </w:rPr>
        <w:lastRenderedPageBreak/>
        <w:drawing>
          <wp:inline distT="0" distB="0" distL="0" distR="0" wp14:anchorId="17C1800C" wp14:editId="7559F977">
            <wp:extent cx="5612130" cy="2141855"/>
            <wp:effectExtent l="0" t="0" r="7620" b="0"/>
            <wp:docPr id="2718563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856305" name="Imagen 271856305"/>
                    <pic:cNvPicPr/>
                  </pic:nvPicPr>
                  <pic:blipFill>
                    <a:blip r:embed="rId16">
                      <a:extLst>
                        <a:ext uri="{28A0092B-C50C-407E-A947-70E740481C1C}">
                          <a14:useLocalDpi xmlns:a14="http://schemas.microsoft.com/office/drawing/2010/main" val="0"/>
                        </a:ext>
                      </a:extLst>
                    </a:blip>
                    <a:stretch>
                      <a:fillRect/>
                    </a:stretch>
                  </pic:blipFill>
                  <pic:spPr>
                    <a:xfrm>
                      <a:off x="0" y="0"/>
                      <a:ext cx="5612130" cy="2141855"/>
                    </a:xfrm>
                    <a:prstGeom prst="rect">
                      <a:avLst/>
                    </a:prstGeom>
                  </pic:spPr>
                </pic:pic>
              </a:graphicData>
            </a:graphic>
          </wp:inline>
        </w:drawing>
      </w:r>
    </w:p>
    <w:p w14:paraId="27280F66" w14:textId="77777777" w:rsidR="001A0216" w:rsidRPr="00FD7602" w:rsidRDefault="001A0216" w:rsidP="001A0216">
      <w:pPr>
        <w:tabs>
          <w:tab w:val="left" w:pos="8080"/>
        </w:tabs>
        <w:jc w:val="both"/>
        <w:rPr>
          <w:rFonts w:ascii="Garamond" w:hAnsi="Garamond" w:cs="Arial"/>
          <w:sz w:val="22"/>
          <w:szCs w:val="22"/>
        </w:rPr>
      </w:pPr>
    </w:p>
    <w:p w14:paraId="46E3887B"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cs="Arial"/>
          <w:bCs/>
          <w:sz w:val="22"/>
          <w:szCs w:val="22"/>
        </w:rPr>
        <w:t>El análisis de la demanda, el cual fue consultado en el MAE de Colombia Compra Eficiente, en lo transcurrido en el año 2026 y lo transcurrido de la presente vigencia 2026 (01/01/2026 al 12/05/2026) arroja un gasto total de $16.214.124.382.154 registrado en el mes de mayo de 2026 y con un total de 2.347 contratos.</w:t>
      </w:r>
    </w:p>
    <w:p w14:paraId="21F7BB04" w14:textId="77777777" w:rsidR="001A0216" w:rsidRPr="00FD7602" w:rsidRDefault="001A0216" w:rsidP="001A0216">
      <w:pPr>
        <w:tabs>
          <w:tab w:val="left" w:pos="8080"/>
        </w:tabs>
        <w:jc w:val="both"/>
        <w:rPr>
          <w:rFonts w:ascii="Garamond" w:hAnsi="Garamond" w:cs="Arial"/>
          <w:sz w:val="22"/>
          <w:szCs w:val="22"/>
        </w:rPr>
      </w:pPr>
    </w:p>
    <w:p w14:paraId="37CE443F" w14:textId="77777777" w:rsidR="001A0216" w:rsidRPr="00FD7602" w:rsidRDefault="001A0216" w:rsidP="001A0216">
      <w:pPr>
        <w:tabs>
          <w:tab w:val="left" w:pos="8080"/>
        </w:tabs>
        <w:jc w:val="both"/>
        <w:rPr>
          <w:rFonts w:ascii="Garamond" w:hAnsi="Garamond" w:cs="Arial"/>
          <w:sz w:val="22"/>
          <w:szCs w:val="22"/>
        </w:rPr>
      </w:pPr>
      <w:r w:rsidRPr="00FD7602">
        <w:rPr>
          <w:rFonts w:ascii="Garamond" w:hAnsi="Garamond" w:cs="Arial"/>
          <w:noProof/>
          <w:sz w:val="22"/>
          <w:szCs w:val="22"/>
          <w14:ligatures w14:val="standardContextual"/>
        </w:rPr>
        <w:drawing>
          <wp:inline distT="0" distB="0" distL="0" distR="0" wp14:anchorId="17C43169" wp14:editId="5CA84144">
            <wp:extent cx="5612130" cy="2702560"/>
            <wp:effectExtent l="0" t="0" r="7620" b="2540"/>
            <wp:docPr id="66547929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479294" name="Imagen 665479294"/>
                    <pic:cNvPicPr/>
                  </pic:nvPicPr>
                  <pic:blipFill>
                    <a:blip r:embed="rId17">
                      <a:extLst>
                        <a:ext uri="{28A0092B-C50C-407E-A947-70E740481C1C}">
                          <a14:useLocalDpi xmlns:a14="http://schemas.microsoft.com/office/drawing/2010/main" val="0"/>
                        </a:ext>
                      </a:extLst>
                    </a:blip>
                    <a:stretch>
                      <a:fillRect/>
                    </a:stretch>
                  </pic:blipFill>
                  <pic:spPr>
                    <a:xfrm>
                      <a:off x="0" y="0"/>
                      <a:ext cx="5612130" cy="2702560"/>
                    </a:xfrm>
                    <a:prstGeom prst="rect">
                      <a:avLst/>
                    </a:prstGeom>
                  </pic:spPr>
                </pic:pic>
              </a:graphicData>
            </a:graphic>
          </wp:inline>
        </w:drawing>
      </w:r>
    </w:p>
    <w:p w14:paraId="7F1CFCC6" w14:textId="77777777" w:rsidR="001A0216" w:rsidRPr="00FD7602" w:rsidRDefault="001A0216" w:rsidP="001A0216">
      <w:pPr>
        <w:tabs>
          <w:tab w:val="left" w:pos="8080"/>
        </w:tabs>
        <w:jc w:val="both"/>
        <w:rPr>
          <w:rFonts w:ascii="Garamond" w:hAnsi="Garamond" w:cs="Arial"/>
          <w:sz w:val="22"/>
          <w:szCs w:val="22"/>
        </w:rPr>
      </w:pPr>
    </w:p>
    <w:p w14:paraId="161A3A9C"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bCs/>
          <w:sz w:val="22"/>
          <w:szCs w:val="22"/>
        </w:rPr>
        <w:t>El valor estimado de los contratos por familia corresponde a 345</w:t>
      </w:r>
      <w:r w:rsidRPr="00FD7602">
        <w:rPr>
          <w:rFonts w:ascii="Garamond" w:hAnsi="Garamond" w:cs="Arial"/>
          <w:bCs/>
          <w:sz w:val="22"/>
          <w:szCs w:val="22"/>
        </w:rPr>
        <w:t xml:space="preserve"> </w:t>
      </w:r>
      <w:r w:rsidRPr="00FD7602">
        <w:rPr>
          <w:rFonts w:ascii="Garamond" w:hAnsi="Garamond"/>
          <w:bCs/>
          <w:sz w:val="22"/>
          <w:szCs w:val="22"/>
        </w:rPr>
        <w:t>contratos entre</w:t>
      </w:r>
      <w:r w:rsidRPr="00FD7602">
        <w:rPr>
          <w:rFonts w:ascii="Garamond" w:hAnsi="Garamond" w:cs="Arial"/>
          <w:bCs/>
          <w:sz w:val="22"/>
          <w:szCs w:val="22"/>
        </w:rPr>
        <w:t xml:space="preserve"> – Familia 8011- Servicios de recursos humanos, 9314- Servicios comunitarios y sociales, 8010- Servicios de asesoría de gestión, 9010-restaurantes y catering, 8114- Tecnologías de fabricación, 9015- Servicios de entretenimiento, 8212- Servicios de reproducción, 6010- Materiales didácticos profesionales y de desarrollo y accesorios y suministros.</w:t>
      </w:r>
    </w:p>
    <w:p w14:paraId="07471DC2" w14:textId="77777777" w:rsidR="001A0216" w:rsidRPr="00FD7602" w:rsidRDefault="001A0216" w:rsidP="001A0216">
      <w:pPr>
        <w:tabs>
          <w:tab w:val="left" w:pos="8080"/>
        </w:tabs>
        <w:jc w:val="both"/>
        <w:rPr>
          <w:rFonts w:ascii="Garamond" w:hAnsi="Garamond" w:cs="Arial"/>
          <w:bCs/>
          <w:sz w:val="22"/>
          <w:szCs w:val="22"/>
        </w:rPr>
      </w:pPr>
    </w:p>
    <w:p w14:paraId="4E4D5FF6" w14:textId="77777777" w:rsidR="001A0216" w:rsidRPr="00FD7602" w:rsidRDefault="001A0216" w:rsidP="001A0216">
      <w:pPr>
        <w:pStyle w:val="Textoindependiente"/>
        <w:tabs>
          <w:tab w:val="left" w:pos="8080"/>
        </w:tabs>
        <w:ind w:right="229"/>
        <w:jc w:val="both"/>
        <w:rPr>
          <w:rFonts w:ascii="Garamond" w:hAnsi="Garamond"/>
          <w:bCs/>
          <w:sz w:val="22"/>
          <w:szCs w:val="22"/>
        </w:rPr>
      </w:pPr>
      <w:r w:rsidRPr="00FD7602">
        <w:rPr>
          <w:rFonts w:ascii="Garamond" w:hAnsi="Garamond"/>
          <w:bCs/>
          <w:sz w:val="22"/>
          <w:szCs w:val="22"/>
        </w:rPr>
        <w:t>A continuación, se encuentra la clasificación de las familias de acuerdo con la clasificación por cantidad de contratos y valor de las transacciones, registrando la siguiente información en 2026:</w:t>
      </w:r>
    </w:p>
    <w:p w14:paraId="09673AF6" w14:textId="77777777" w:rsidR="001A0216" w:rsidRPr="00FD7602" w:rsidRDefault="001A0216" w:rsidP="001A0216">
      <w:pPr>
        <w:widowControl w:val="0"/>
        <w:tabs>
          <w:tab w:val="left" w:pos="841"/>
          <w:tab w:val="left" w:pos="842"/>
          <w:tab w:val="left" w:pos="8080"/>
        </w:tabs>
        <w:autoSpaceDE w:val="0"/>
        <w:autoSpaceDN w:val="0"/>
        <w:jc w:val="both"/>
        <w:rPr>
          <w:rFonts w:ascii="Garamond" w:hAnsi="Garamond" w:cs="Arial"/>
          <w:bCs/>
          <w:sz w:val="22"/>
          <w:szCs w:val="22"/>
        </w:rPr>
      </w:pPr>
    </w:p>
    <w:p w14:paraId="584D93A2"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lastRenderedPageBreak/>
        <w:t>Mayor participación la familia 8011– Servicios de recursos Humanos, con 363.648 contratos por un valor de $13.191.088.955.629y un 75.53% de participación.</w:t>
      </w:r>
    </w:p>
    <w:p w14:paraId="33258465"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 xml:space="preserve">Seguido de la familia 9314- Servicios comunitarios y sociales </w:t>
      </w:r>
      <w:r w:rsidRPr="00FD7602">
        <w:rPr>
          <w:rFonts w:ascii="Garamond" w:hAnsi="Garamond" w:cs="Arial"/>
          <w:bCs/>
          <w:sz w:val="22"/>
          <w:szCs w:val="22"/>
        </w:rPr>
        <w:t xml:space="preserve">con 7784 </w:t>
      </w:r>
      <w:r w:rsidRPr="00FD7602">
        <w:rPr>
          <w:rFonts w:ascii="Garamond" w:hAnsi="Garamond"/>
          <w:bCs/>
          <w:sz w:val="22"/>
          <w:szCs w:val="22"/>
        </w:rPr>
        <w:t>contratos por un valor de $2.548.476.870.325 y un 14,59% de participación.</w:t>
      </w:r>
    </w:p>
    <w:p w14:paraId="4154E8AA"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Familia 8010- Servicios de asesoría de gestión, con 8.562 contratos por un valor de $1.229.240.789.775 y una participación de 7,04% de participación.</w:t>
      </w:r>
    </w:p>
    <w:p w14:paraId="716E90A8"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Familia 9010- Restaurantes y catering con 1.023 contratos por un valor de $302.222.148.316 y un 1,73% de participación.</w:t>
      </w:r>
    </w:p>
    <w:p w14:paraId="39B06123"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 xml:space="preserve">Familia 8114- Tecnologías de fabricación con 718 contratos por un valor de $111.052.976.098 y un 0,64% de participación. </w:t>
      </w:r>
    </w:p>
    <w:p w14:paraId="3E8B48F7"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Familia 9015- Servicios de entretenimiento con 133 contratos por un valor de $46.032.864.316 y un 0,26% de participación.</w:t>
      </w:r>
    </w:p>
    <w:p w14:paraId="007B0FFD"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Familia 8212- Servicios de reproducción con 228 contratos por un valor de $34.896.004.030 y un 0,20%.</w:t>
      </w:r>
    </w:p>
    <w:p w14:paraId="0C2111BD" w14:textId="77777777" w:rsidR="001A0216" w:rsidRPr="00FD7602" w:rsidRDefault="001A0216" w:rsidP="001A0216">
      <w:pPr>
        <w:pStyle w:val="Textoindependiente"/>
        <w:widowControl w:val="0"/>
        <w:numPr>
          <w:ilvl w:val="0"/>
          <w:numId w:val="9"/>
        </w:numPr>
        <w:tabs>
          <w:tab w:val="left" w:pos="8080"/>
        </w:tabs>
        <w:autoSpaceDE w:val="0"/>
        <w:autoSpaceDN w:val="0"/>
        <w:spacing w:before="1" w:after="0" w:line="267" w:lineRule="exact"/>
        <w:jc w:val="both"/>
        <w:rPr>
          <w:rFonts w:ascii="Garamond" w:hAnsi="Garamond"/>
          <w:bCs/>
          <w:sz w:val="22"/>
          <w:szCs w:val="22"/>
        </w:rPr>
      </w:pPr>
      <w:r w:rsidRPr="00FD7602">
        <w:rPr>
          <w:rFonts w:ascii="Garamond" w:hAnsi="Garamond"/>
          <w:bCs/>
          <w:sz w:val="22"/>
          <w:szCs w:val="22"/>
        </w:rPr>
        <w:t>Familia 6010- Materiales didácticos profesionales y de desarrollo y accesorios y suministros con 17 contratos por un valor de $1.670.544.418 y una participación de 0,01%.</w:t>
      </w:r>
    </w:p>
    <w:p w14:paraId="6BB2354F" w14:textId="77777777" w:rsidR="001A0216" w:rsidRPr="00FD7602" w:rsidRDefault="001A0216" w:rsidP="001A0216">
      <w:pPr>
        <w:pStyle w:val="Textoindependiente"/>
        <w:widowControl w:val="0"/>
        <w:tabs>
          <w:tab w:val="left" w:pos="8080"/>
        </w:tabs>
        <w:autoSpaceDE w:val="0"/>
        <w:autoSpaceDN w:val="0"/>
        <w:spacing w:before="1" w:after="0" w:line="267" w:lineRule="exact"/>
        <w:ind w:left="842"/>
        <w:jc w:val="both"/>
        <w:rPr>
          <w:rFonts w:ascii="Garamond" w:hAnsi="Garamond"/>
          <w:bCs/>
          <w:sz w:val="22"/>
          <w:szCs w:val="22"/>
        </w:rPr>
      </w:pPr>
    </w:p>
    <w:p w14:paraId="2EB3FF24" w14:textId="77777777" w:rsidR="001A0216" w:rsidRPr="00FD7602" w:rsidRDefault="001A0216" w:rsidP="001A0216">
      <w:pPr>
        <w:pStyle w:val="Textoindependiente"/>
        <w:tabs>
          <w:tab w:val="left" w:pos="8080"/>
        </w:tabs>
        <w:ind w:right="229"/>
        <w:jc w:val="both"/>
        <w:rPr>
          <w:rFonts w:ascii="Garamond" w:hAnsi="Garamond"/>
          <w:bCs/>
          <w:sz w:val="22"/>
          <w:szCs w:val="22"/>
        </w:rPr>
      </w:pPr>
      <w:r w:rsidRPr="00FD7602">
        <w:rPr>
          <w:rFonts w:ascii="Garamond" w:hAnsi="Garamond"/>
          <w:bCs/>
          <w:noProof/>
          <w:sz w:val="22"/>
          <w:szCs w:val="22"/>
          <w14:ligatures w14:val="standardContextual"/>
        </w:rPr>
        <w:drawing>
          <wp:inline distT="0" distB="0" distL="0" distR="0" wp14:anchorId="3DDCA96A" wp14:editId="684F07D1">
            <wp:extent cx="5612130" cy="1532890"/>
            <wp:effectExtent l="0" t="0" r="7620" b="0"/>
            <wp:docPr id="1126274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7442" name="Imagen 1126274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2130" cy="1532890"/>
                    </a:xfrm>
                    <a:prstGeom prst="rect">
                      <a:avLst/>
                    </a:prstGeom>
                  </pic:spPr>
                </pic:pic>
              </a:graphicData>
            </a:graphic>
          </wp:inline>
        </w:drawing>
      </w:r>
    </w:p>
    <w:p w14:paraId="4A4FC572" w14:textId="77777777" w:rsidR="001A0216" w:rsidRPr="00FD7602" w:rsidRDefault="001A0216" w:rsidP="001A0216">
      <w:pPr>
        <w:pStyle w:val="Textoindependiente"/>
        <w:tabs>
          <w:tab w:val="left" w:pos="8080"/>
        </w:tabs>
        <w:ind w:right="229"/>
        <w:jc w:val="both"/>
        <w:rPr>
          <w:rFonts w:ascii="Garamond" w:hAnsi="Garamond"/>
          <w:bCs/>
          <w:sz w:val="22"/>
          <w:szCs w:val="22"/>
        </w:rPr>
      </w:pPr>
    </w:p>
    <w:p w14:paraId="7156772F" w14:textId="77777777" w:rsidR="001A0216" w:rsidRPr="00FD7602" w:rsidRDefault="001A0216" w:rsidP="001A0216">
      <w:pPr>
        <w:widowControl w:val="0"/>
        <w:tabs>
          <w:tab w:val="left" w:pos="841"/>
          <w:tab w:val="left" w:pos="842"/>
          <w:tab w:val="left" w:pos="8080"/>
        </w:tabs>
        <w:autoSpaceDE w:val="0"/>
        <w:autoSpaceDN w:val="0"/>
        <w:ind w:right="231"/>
        <w:jc w:val="both"/>
        <w:rPr>
          <w:rFonts w:ascii="Garamond" w:hAnsi="Garamond"/>
          <w:bCs/>
          <w:sz w:val="22"/>
          <w:szCs w:val="22"/>
        </w:rPr>
      </w:pPr>
      <w:r w:rsidRPr="00FD7602">
        <w:rPr>
          <w:rFonts w:ascii="Garamond" w:hAnsi="Garamond" w:cs="Arial"/>
          <w:bCs/>
          <w:sz w:val="22"/>
          <w:szCs w:val="22"/>
        </w:rPr>
        <w:t xml:space="preserve">Los 2.347 contratos fueron suscritos con los proveedores relacionados en la siguiente gráfica, evidenciándose que el mayor porcentaje lo obtiene Persona natural con (406 contratos), Proveedor con (112 contratos), Servicios Integrados Cooperativa de trabajo asociado (51 contratos), Compensar con (49 contratos), </w:t>
      </w:r>
      <w:r w:rsidRPr="00FD7602">
        <w:rPr>
          <w:rFonts w:ascii="Garamond" w:hAnsi="Garamond"/>
          <w:bCs/>
          <w:sz w:val="22"/>
          <w:szCs w:val="22"/>
        </w:rPr>
        <w:t>Entre otros.</w:t>
      </w:r>
    </w:p>
    <w:p w14:paraId="1D273EF0" w14:textId="77777777" w:rsidR="001A0216" w:rsidRPr="00FD7602" w:rsidRDefault="001A0216" w:rsidP="001A0216">
      <w:pPr>
        <w:widowControl w:val="0"/>
        <w:tabs>
          <w:tab w:val="left" w:pos="841"/>
          <w:tab w:val="left" w:pos="842"/>
          <w:tab w:val="left" w:pos="8080"/>
        </w:tabs>
        <w:autoSpaceDE w:val="0"/>
        <w:autoSpaceDN w:val="0"/>
        <w:ind w:right="231"/>
        <w:jc w:val="both"/>
        <w:rPr>
          <w:rFonts w:ascii="Garamond" w:hAnsi="Garamond" w:cs="Arial"/>
          <w:bCs/>
          <w:sz w:val="22"/>
          <w:szCs w:val="22"/>
        </w:rPr>
      </w:pPr>
    </w:p>
    <w:p w14:paraId="05A63038" w14:textId="77777777" w:rsidR="001A0216" w:rsidRPr="00FD7602" w:rsidRDefault="001A0216" w:rsidP="001A0216">
      <w:pPr>
        <w:pStyle w:val="Textoindependiente"/>
        <w:tabs>
          <w:tab w:val="left" w:pos="8080"/>
        </w:tabs>
        <w:ind w:right="229"/>
        <w:jc w:val="both"/>
        <w:rPr>
          <w:rFonts w:ascii="Garamond" w:hAnsi="Garamond"/>
          <w:bCs/>
          <w:sz w:val="22"/>
          <w:szCs w:val="22"/>
        </w:rPr>
      </w:pPr>
      <w:r w:rsidRPr="00FD7602">
        <w:rPr>
          <w:rFonts w:ascii="Garamond" w:hAnsi="Garamond"/>
          <w:bCs/>
          <w:noProof/>
          <w:sz w:val="22"/>
          <w:szCs w:val="22"/>
          <w14:ligatures w14:val="standardContextual"/>
        </w:rPr>
        <w:lastRenderedPageBreak/>
        <w:drawing>
          <wp:inline distT="0" distB="0" distL="0" distR="0" wp14:anchorId="4C5B0F47" wp14:editId="3C8C2AB4">
            <wp:extent cx="5612130" cy="2040255"/>
            <wp:effectExtent l="0" t="0" r="7620" b="0"/>
            <wp:docPr id="154457241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72417" name="Imagen 15445724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12130" cy="2040255"/>
                    </a:xfrm>
                    <a:prstGeom prst="rect">
                      <a:avLst/>
                    </a:prstGeom>
                  </pic:spPr>
                </pic:pic>
              </a:graphicData>
            </a:graphic>
          </wp:inline>
        </w:drawing>
      </w:r>
    </w:p>
    <w:p w14:paraId="53947C34" w14:textId="77777777" w:rsidR="001A0216" w:rsidRPr="00FD7602" w:rsidRDefault="001A0216" w:rsidP="001A0216">
      <w:pPr>
        <w:pStyle w:val="Textoindependiente"/>
        <w:tabs>
          <w:tab w:val="left" w:pos="8080"/>
        </w:tabs>
        <w:spacing w:before="56"/>
        <w:ind w:right="227"/>
        <w:jc w:val="both"/>
        <w:rPr>
          <w:rFonts w:ascii="Garamond" w:hAnsi="Garamond"/>
          <w:bCs/>
          <w:sz w:val="22"/>
          <w:szCs w:val="22"/>
        </w:rPr>
      </w:pPr>
      <w:r w:rsidRPr="00FD7602">
        <w:rPr>
          <w:rFonts w:ascii="Garamond" w:hAnsi="Garamond"/>
          <w:bCs/>
          <w:sz w:val="22"/>
          <w:szCs w:val="22"/>
        </w:rPr>
        <w:t>De acuerdo con el valor total estimado por Origen de proveedor, se evidencia que en Distrito Capital de Bogotá se concentra el mayor porcentaje con un 20,08%, lo que equivale a $4.690.432.148.904, seguido de Antioquia con un 9,69% que corresponde a $1.717.804.045.088, luego Valle con 8,69% que equivale a $847.224.236.819, después Cundinamarca con 6,8% que equivale a $759.766.689.782, entre otros.</w:t>
      </w:r>
    </w:p>
    <w:p w14:paraId="026DC903" w14:textId="77777777" w:rsidR="001A0216" w:rsidRPr="00FD7602" w:rsidRDefault="001A0216" w:rsidP="001A0216">
      <w:pPr>
        <w:pStyle w:val="Textoindependiente"/>
        <w:tabs>
          <w:tab w:val="left" w:pos="8080"/>
        </w:tabs>
        <w:spacing w:before="56"/>
        <w:ind w:right="227"/>
        <w:jc w:val="both"/>
        <w:rPr>
          <w:rFonts w:ascii="Garamond" w:hAnsi="Garamond"/>
          <w:bCs/>
          <w:sz w:val="22"/>
          <w:szCs w:val="22"/>
        </w:rPr>
      </w:pPr>
    </w:p>
    <w:p w14:paraId="48C51DB4" w14:textId="77777777" w:rsidR="001A0216" w:rsidRPr="00FD7602" w:rsidRDefault="001A0216" w:rsidP="001A0216">
      <w:pPr>
        <w:pStyle w:val="Textoindependiente"/>
        <w:tabs>
          <w:tab w:val="left" w:pos="8080"/>
        </w:tabs>
        <w:spacing w:before="56"/>
        <w:ind w:right="227"/>
        <w:jc w:val="both"/>
        <w:rPr>
          <w:rFonts w:ascii="Garamond" w:hAnsi="Garamond" w:cs="Arial"/>
          <w:bCs/>
          <w:sz w:val="22"/>
          <w:szCs w:val="22"/>
        </w:rPr>
      </w:pPr>
      <w:r w:rsidRPr="00FD7602">
        <w:rPr>
          <w:rFonts w:ascii="Garamond" w:hAnsi="Garamond" w:cs="Arial"/>
          <w:bCs/>
          <w:noProof/>
          <w:sz w:val="22"/>
          <w:szCs w:val="22"/>
          <w14:ligatures w14:val="standardContextual"/>
        </w:rPr>
        <w:drawing>
          <wp:inline distT="0" distB="0" distL="0" distR="0" wp14:anchorId="4D770C67" wp14:editId="136C4B29">
            <wp:extent cx="5612130" cy="1765935"/>
            <wp:effectExtent l="0" t="0" r="7620" b="5715"/>
            <wp:docPr id="121684149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41492" name="Imagen 121684149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2130" cy="1765935"/>
                    </a:xfrm>
                    <a:prstGeom prst="rect">
                      <a:avLst/>
                    </a:prstGeom>
                  </pic:spPr>
                </pic:pic>
              </a:graphicData>
            </a:graphic>
          </wp:inline>
        </w:drawing>
      </w:r>
    </w:p>
    <w:p w14:paraId="4D116346" w14:textId="77777777" w:rsidR="001A0216" w:rsidRPr="00FD7602" w:rsidRDefault="001A0216" w:rsidP="001A0216">
      <w:pPr>
        <w:pStyle w:val="Textoindependiente"/>
        <w:tabs>
          <w:tab w:val="left" w:pos="8080"/>
        </w:tabs>
        <w:ind w:right="227"/>
        <w:jc w:val="both"/>
        <w:rPr>
          <w:rFonts w:ascii="Garamond" w:hAnsi="Garamond"/>
          <w:bCs/>
          <w:sz w:val="22"/>
          <w:szCs w:val="22"/>
        </w:rPr>
      </w:pPr>
      <w:r w:rsidRPr="00FD7602">
        <w:rPr>
          <w:rFonts w:ascii="Garamond" w:hAnsi="Garamond"/>
          <w:bCs/>
          <w:sz w:val="22"/>
          <w:szCs w:val="22"/>
        </w:rPr>
        <w:t>En su mayoría los proveedores son de origen nacional con 296.242 contratos, mientras que la participación extranjera fue de 259 contratos. De acuerdo con la modalidad de la selección del proceso, estos fueron convocados a través de:</w:t>
      </w:r>
    </w:p>
    <w:p w14:paraId="2F1A5FF4" w14:textId="77777777" w:rsidR="001A0216" w:rsidRPr="00FD7602" w:rsidRDefault="001A0216" w:rsidP="001A0216">
      <w:pPr>
        <w:pStyle w:val="Textoindependiente"/>
        <w:tabs>
          <w:tab w:val="left" w:pos="8080"/>
        </w:tabs>
        <w:spacing w:before="11"/>
        <w:jc w:val="both"/>
        <w:rPr>
          <w:rFonts w:ascii="Garamond" w:hAnsi="Garamond"/>
          <w:bCs/>
          <w:sz w:val="22"/>
          <w:szCs w:val="22"/>
        </w:rPr>
      </w:pPr>
      <w:r w:rsidRPr="00FD7602">
        <w:rPr>
          <w:rFonts w:ascii="Garamond" w:hAnsi="Garamond"/>
          <w:bCs/>
          <w:noProof/>
          <w:sz w:val="22"/>
          <w:szCs w:val="22"/>
          <w14:ligatures w14:val="standardContextual"/>
        </w:rPr>
        <w:drawing>
          <wp:inline distT="0" distB="0" distL="0" distR="0" wp14:anchorId="52BE18AE" wp14:editId="5C7BC61E">
            <wp:extent cx="5612130" cy="1501140"/>
            <wp:effectExtent l="0" t="0" r="7620" b="3810"/>
            <wp:docPr id="29432798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27989" name="Imagen 29432798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2130" cy="1501140"/>
                    </a:xfrm>
                    <a:prstGeom prst="rect">
                      <a:avLst/>
                    </a:prstGeom>
                  </pic:spPr>
                </pic:pic>
              </a:graphicData>
            </a:graphic>
          </wp:inline>
        </w:drawing>
      </w:r>
    </w:p>
    <w:p w14:paraId="21DFE038" w14:textId="77777777" w:rsidR="001A0216" w:rsidRPr="00FD7602" w:rsidRDefault="001A0216" w:rsidP="001A0216">
      <w:pPr>
        <w:pStyle w:val="Textoindependiente"/>
        <w:tabs>
          <w:tab w:val="left" w:pos="8080"/>
        </w:tabs>
        <w:ind w:right="227"/>
        <w:jc w:val="both"/>
        <w:rPr>
          <w:rFonts w:ascii="Garamond" w:hAnsi="Garamond"/>
          <w:bCs/>
          <w:sz w:val="22"/>
          <w:szCs w:val="22"/>
        </w:rPr>
      </w:pPr>
      <w:r w:rsidRPr="00FD7602">
        <w:rPr>
          <w:rFonts w:ascii="Garamond" w:hAnsi="Garamond"/>
          <w:bCs/>
          <w:sz w:val="22"/>
          <w:szCs w:val="22"/>
        </w:rPr>
        <w:t xml:space="preserve">La modalidad de selección predominante es la de Contratación Directa por un valor de $13.629.230.995.222, seguido de Régimen Especial por un valor de $3.123.459.991.845, seguido de </w:t>
      </w:r>
      <w:r w:rsidRPr="00FD7602">
        <w:rPr>
          <w:rFonts w:ascii="Garamond" w:hAnsi="Garamond"/>
          <w:bCs/>
          <w:sz w:val="22"/>
          <w:szCs w:val="22"/>
        </w:rPr>
        <w:lastRenderedPageBreak/>
        <w:t xml:space="preserve">Licitación </w:t>
      </w:r>
      <w:proofErr w:type="spellStart"/>
      <w:r w:rsidRPr="00FD7602">
        <w:rPr>
          <w:rFonts w:ascii="Garamond" w:hAnsi="Garamond"/>
          <w:bCs/>
          <w:sz w:val="22"/>
          <w:szCs w:val="22"/>
        </w:rPr>
        <w:t>Publica</w:t>
      </w:r>
      <w:proofErr w:type="spellEnd"/>
      <w:r w:rsidRPr="00FD7602">
        <w:rPr>
          <w:rFonts w:ascii="Garamond" w:hAnsi="Garamond"/>
          <w:bCs/>
          <w:sz w:val="22"/>
          <w:szCs w:val="22"/>
        </w:rPr>
        <w:t xml:space="preserve"> por un valor de $406.920.074.175,seguido de Mínima Cuantía $112.243.411.472 seguido de $70.163.549.206, después Selección Abreviada Subasta Inversa por un valor de $60.209.016.314,seguido de Licitación Obra </w:t>
      </w:r>
      <w:proofErr w:type="spellStart"/>
      <w:r w:rsidRPr="00FD7602">
        <w:rPr>
          <w:rFonts w:ascii="Garamond" w:hAnsi="Garamond"/>
          <w:bCs/>
          <w:sz w:val="22"/>
          <w:szCs w:val="22"/>
        </w:rPr>
        <w:t>Publica</w:t>
      </w:r>
      <w:proofErr w:type="spellEnd"/>
      <w:r w:rsidRPr="00FD7602">
        <w:rPr>
          <w:rFonts w:ascii="Garamond" w:hAnsi="Garamond"/>
          <w:bCs/>
          <w:sz w:val="22"/>
          <w:szCs w:val="22"/>
        </w:rPr>
        <w:t xml:space="preserve"> por un valor de $36.654.178.364 y por ultimo Selección Abreviada de Menor Cuantía por un valor de $25.799.936.309.  </w:t>
      </w:r>
    </w:p>
    <w:p w14:paraId="24A99040" w14:textId="77777777" w:rsidR="001A0216" w:rsidRPr="00FD7602" w:rsidRDefault="001A0216" w:rsidP="001A0216">
      <w:pPr>
        <w:pStyle w:val="Textoindependiente"/>
        <w:tabs>
          <w:tab w:val="left" w:pos="8080"/>
        </w:tabs>
        <w:ind w:right="227"/>
        <w:jc w:val="both"/>
        <w:rPr>
          <w:rFonts w:ascii="Garamond" w:hAnsi="Garamond"/>
          <w:bCs/>
          <w:sz w:val="22"/>
          <w:szCs w:val="22"/>
        </w:rPr>
      </w:pPr>
    </w:p>
    <w:p w14:paraId="180F9ACE" w14:textId="77777777" w:rsidR="001A0216" w:rsidRPr="00FD7602" w:rsidRDefault="001A0216" w:rsidP="001A0216">
      <w:pPr>
        <w:pStyle w:val="Textoindependiente"/>
        <w:tabs>
          <w:tab w:val="left" w:pos="8080"/>
        </w:tabs>
        <w:spacing w:before="11"/>
        <w:jc w:val="center"/>
        <w:rPr>
          <w:rFonts w:ascii="Garamond" w:hAnsi="Garamond"/>
          <w:b/>
          <w:bCs/>
          <w:sz w:val="22"/>
          <w:szCs w:val="22"/>
          <w:u w:val="single"/>
        </w:rPr>
      </w:pPr>
      <w:r w:rsidRPr="00FD7602">
        <w:rPr>
          <w:rFonts w:ascii="Garamond" w:hAnsi="Garamond"/>
          <w:b/>
          <w:bCs/>
          <w:sz w:val="22"/>
          <w:szCs w:val="22"/>
          <w:u w:val="single"/>
        </w:rPr>
        <w:t>Análisis de la Oferta</w:t>
      </w:r>
    </w:p>
    <w:p w14:paraId="29B2831D" w14:textId="77777777" w:rsidR="001A0216" w:rsidRPr="00FD7602" w:rsidRDefault="001A0216" w:rsidP="001A0216">
      <w:pPr>
        <w:pStyle w:val="Textoindependiente"/>
        <w:tabs>
          <w:tab w:val="left" w:pos="8080"/>
        </w:tabs>
        <w:spacing w:before="11"/>
        <w:rPr>
          <w:rFonts w:ascii="Garamond" w:hAnsi="Garamond"/>
          <w:bCs/>
          <w:sz w:val="22"/>
          <w:szCs w:val="22"/>
        </w:rPr>
      </w:pPr>
    </w:p>
    <w:p w14:paraId="405CC4CE"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bCs/>
          <w:sz w:val="22"/>
          <w:szCs w:val="22"/>
        </w:rPr>
        <w:t xml:space="preserve">En cuanto al Análisis de la Oferta </w:t>
      </w:r>
      <w:r w:rsidRPr="00FD7602">
        <w:rPr>
          <w:rFonts w:ascii="Garamond" w:hAnsi="Garamond" w:cs="Arial"/>
          <w:bCs/>
          <w:sz w:val="22"/>
          <w:szCs w:val="22"/>
        </w:rPr>
        <w:t>realizado entre la vigencia 2026 y lo corrido del año 2026 (1 enero de 2026 al 1 de junio de 2026) en el portal del SECOP II</w:t>
      </w:r>
      <w:r w:rsidRPr="00FD7602">
        <w:rPr>
          <w:rFonts w:ascii="Garamond" w:hAnsi="Garamond"/>
          <w:bCs/>
          <w:sz w:val="22"/>
          <w:szCs w:val="22"/>
        </w:rPr>
        <w:t xml:space="preserve">, se adelanta con </w:t>
      </w:r>
      <w:r w:rsidRPr="00FD7602">
        <w:rPr>
          <w:rFonts w:ascii="Garamond" w:hAnsi="Garamond" w:cs="Arial"/>
          <w:bCs/>
          <w:sz w:val="22"/>
          <w:szCs w:val="22"/>
        </w:rPr>
        <w:t xml:space="preserve">las siguientes familias: – </w:t>
      </w:r>
      <w:r w:rsidRPr="00FD7602">
        <w:rPr>
          <w:rFonts w:ascii="Garamond" w:hAnsi="Garamond"/>
          <w:bCs/>
          <w:sz w:val="22"/>
          <w:szCs w:val="22"/>
        </w:rPr>
        <w:t xml:space="preserve">entre </w:t>
      </w:r>
      <w:r w:rsidRPr="00FD7602">
        <w:rPr>
          <w:rFonts w:ascii="Garamond" w:hAnsi="Garamond" w:cs="Arial"/>
          <w:bCs/>
          <w:sz w:val="22"/>
          <w:szCs w:val="22"/>
        </w:rPr>
        <w:t>– Familia 8011- Servicios de recursos humanos, 9314- Servicios comunitarios y sociales, 8010- Servicios de asesoría de gestión, 9010-restaurantes y catering, 8114- Tecnologías de fabricación, 9015- Servicios de entretenimiento, 8212- Servicios de reproducción, 6010- Materiales didácticos profesionales y de desarrollo y accesorios y suministros.</w:t>
      </w:r>
    </w:p>
    <w:p w14:paraId="41F6E170" w14:textId="77777777" w:rsidR="001A0216" w:rsidRPr="00FD7602" w:rsidRDefault="001A0216" w:rsidP="001A0216">
      <w:pPr>
        <w:tabs>
          <w:tab w:val="left" w:pos="8080"/>
        </w:tabs>
        <w:jc w:val="both"/>
        <w:rPr>
          <w:rFonts w:ascii="Garamond" w:hAnsi="Garamond" w:cs="Arial"/>
          <w:bCs/>
          <w:sz w:val="22"/>
          <w:szCs w:val="22"/>
        </w:rPr>
      </w:pPr>
      <w:r w:rsidRPr="00FD7602">
        <w:rPr>
          <w:rFonts w:ascii="Garamond" w:hAnsi="Garamond" w:cs="Arial"/>
          <w:bCs/>
          <w:noProof/>
          <w:sz w:val="22"/>
          <w:szCs w:val="22"/>
          <w14:ligatures w14:val="standardContextual"/>
        </w:rPr>
        <w:drawing>
          <wp:inline distT="0" distB="0" distL="0" distR="0" wp14:anchorId="78989B87" wp14:editId="11937737">
            <wp:extent cx="5612130" cy="4766945"/>
            <wp:effectExtent l="0" t="0" r="7620" b="0"/>
            <wp:docPr id="28207944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079442" name="Imagen 282079442"/>
                    <pic:cNvPicPr/>
                  </pic:nvPicPr>
                  <pic:blipFill>
                    <a:blip r:embed="rId22">
                      <a:extLst>
                        <a:ext uri="{28A0092B-C50C-407E-A947-70E740481C1C}">
                          <a14:useLocalDpi xmlns:a14="http://schemas.microsoft.com/office/drawing/2010/main" val="0"/>
                        </a:ext>
                      </a:extLst>
                    </a:blip>
                    <a:stretch>
                      <a:fillRect/>
                    </a:stretch>
                  </pic:blipFill>
                  <pic:spPr>
                    <a:xfrm>
                      <a:off x="0" y="0"/>
                      <a:ext cx="5612130" cy="4766945"/>
                    </a:xfrm>
                    <a:prstGeom prst="rect">
                      <a:avLst/>
                    </a:prstGeom>
                  </pic:spPr>
                </pic:pic>
              </a:graphicData>
            </a:graphic>
          </wp:inline>
        </w:drawing>
      </w:r>
    </w:p>
    <w:p w14:paraId="37334DEB" w14:textId="77777777" w:rsidR="001A0216" w:rsidRPr="00FD7602" w:rsidRDefault="001A0216" w:rsidP="001A0216">
      <w:pPr>
        <w:tabs>
          <w:tab w:val="left" w:pos="8080"/>
        </w:tabs>
        <w:jc w:val="both"/>
        <w:rPr>
          <w:rFonts w:ascii="Garamond" w:hAnsi="Garamond"/>
          <w:bCs/>
          <w:sz w:val="22"/>
          <w:szCs w:val="22"/>
        </w:rPr>
      </w:pPr>
    </w:p>
    <w:p w14:paraId="46410E1B" w14:textId="77777777" w:rsidR="001A0216" w:rsidRPr="00FD7602" w:rsidRDefault="001A0216" w:rsidP="001A0216">
      <w:pPr>
        <w:pStyle w:val="Textoindependiente"/>
        <w:tabs>
          <w:tab w:val="left" w:pos="8080"/>
        </w:tabs>
        <w:ind w:right="227"/>
        <w:jc w:val="both"/>
        <w:rPr>
          <w:rFonts w:ascii="Garamond" w:hAnsi="Garamond"/>
          <w:bCs/>
          <w:sz w:val="22"/>
          <w:szCs w:val="22"/>
        </w:rPr>
      </w:pPr>
      <w:r w:rsidRPr="00FD7602">
        <w:rPr>
          <w:rFonts w:ascii="Garamond" w:hAnsi="Garamond"/>
          <w:bCs/>
          <w:sz w:val="22"/>
          <w:szCs w:val="22"/>
        </w:rPr>
        <w:lastRenderedPageBreak/>
        <w:t>Los contratos suscritos en su mayoría son proveedores No plurales con 296.619 contratos, que equivale al 99,95%. Mientras la participación de los Plurales fue de 0,05% que corresponde a 144 contratos. La modalidad de selección predominante es la de Contratación Directa por un valor de $13.629.230.995.222, seguido de Régimen Especial por un valor de $3.123.459.991.845, seguido de Licitación Pública por un valor de $406.920.074.175,seguido de Mínima Cuantía $112.243.411.472 seguido de $70.163.549.206, después Selección Abreviada Subasta Inversa por un valor de $60.209.016.314,seguido de Licitación Obra Pública por un valor de $36.654.178.364 y por ultimo Selección Abreviada de Menor Cuantía por un valor de $25.799.936.309.</w:t>
      </w:r>
    </w:p>
    <w:p w14:paraId="48C70490" w14:textId="77777777" w:rsidR="001A0216" w:rsidRPr="00FD7602" w:rsidRDefault="001A0216" w:rsidP="001A0216">
      <w:pPr>
        <w:pStyle w:val="Textoindependiente"/>
        <w:tabs>
          <w:tab w:val="left" w:pos="8080"/>
        </w:tabs>
        <w:ind w:right="227"/>
        <w:jc w:val="both"/>
        <w:rPr>
          <w:rFonts w:ascii="Garamond" w:hAnsi="Garamond" w:cs="Arial"/>
          <w:bCs/>
          <w:sz w:val="22"/>
          <w:szCs w:val="22"/>
        </w:rPr>
      </w:pPr>
      <w:r w:rsidRPr="00FD7602">
        <w:rPr>
          <w:rFonts w:ascii="Garamond" w:hAnsi="Garamond" w:cs="Arial"/>
          <w:bCs/>
          <w:noProof/>
          <w:sz w:val="22"/>
          <w:szCs w:val="22"/>
          <w14:ligatures w14:val="standardContextual"/>
        </w:rPr>
        <w:drawing>
          <wp:inline distT="0" distB="0" distL="0" distR="0" wp14:anchorId="6151457B" wp14:editId="05E36AFC">
            <wp:extent cx="5612130" cy="1565275"/>
            <wp:effectExtent l="0" t="0" r="7620" b="0"/>
            <wp:docPr id="198564437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44378" name="Imagen 1985644378"/>
                    <pic:cNvPicPr/>
                  </pic:nvPicPr>
                  <pic:blipFill>
                    <a:blip r:embed="rId23">
                      <a:extLst>
                        <a:ext uri="{28A0092B-C50C-407E-A947-70E740481C1C}">
                          <a14:useLocalDpi xmlns:a14="http://schemas.microsoft.com/office/drawing/2010/main" val="0"/>
                        </a:ext>
                      </a:extLst>
                    </a:blip>
                    <a:stretch>
                      <a:fillRect/>
                    </a:stretch>
                  </pic:blipFill>
                  <pic:spPr>
                    <a:xfrm>
                      <a:off x="0" y="0"/>
                      <a:ext cx="5612130" cy="1565275"/>
                    </a:xfrm>
                    <a:prstGeom prst="rect">
                      <a:avLst/>
                    </a:prstGeom>
                  </pic:spPr>
                </pic:pic>
              </a:graphicData>
            </a:graphic>
          </wp:inline>
        </w:drawing>
      </w:r>
    </w:p>
    <w:p w14:paraId="1606F197" w14:textId="77777777" w:rsidR="001A0216" w:rsidRPr="00FD7602" w:rsidRDefault="001A0216" w:rsidP="001A0216">
      <w:pPr>
        <w:pStyle w:val="Textoindependiente"/>
        <w:tabs>
          <w:tab w:val="left" w:pos="8080"/>
        </w:tabs>
        <w:spacing w:before="11"/>
        <w:jc w:val="both"/>
        <w:rPr>
          <w:rFonts w:ascii="Garamond" w:hAnsi="Garamond"/>
          <w:bCs/>
          <w:sz w:val="22"/>
          <w:szCs w:val="22"/>
        </w:rPr>
      </w:pPr>
      <w:r w:rsidRPr="00FD7602">
        <w:rPr>
          <w:rFonts w:ascii="Garamond" w:hAnsi="Garamond"/>
          <w:bCs/>
          <w:sz w:val="22"/>
          <w:szCs w:val="22"/>
        </w:rPr>
        <w:t xml:space="preserve">La modalidad de contratación que mayor transacción registró fue la de Contratación Directa, seguido de Régimen Especial, Licitación </w:t>
      </w:r>
      <w:proofErr w:type="spellStart"/>
      <w:r w:rsidRPr="00FD7602">
        <w:rPr>
          <w:rFonts w:ascii="Garamond" w:hAnsi="Garamond"/>
          <w:bCs/>
          <w:sz w:val="22"/>
          <w:szCs w:val="22"/>
        </w:rPr>
        <w:t>Publica</w:t>
      </w:r>
      <w:proofErr w:type="spellEnd"/>
      <w:r w:rsidRPr="00FD7602">
        <w:rPr>
          <w:rFonts w:ascii="Garamond" w:hAnsi="Garamond"/>
          <w:bCs/>
          <w:sz w:val="22"/>
          <w:szCs w:val="22"/>
        </w:rPr>
        <w:t xml:space="preserve">, después Mínima cuantía, seguido de Selección abreviada Subasta inversa, después Licitación de Obra </w:t>
      </w:r>
      <w:proofErr w:type="spellStart"/>
      <w:r w:rsidRPr="00FD7602">
        <w:rPr>
          <w:rFonts w:ascii="Garamond" w:hAnsi="Garamond"/>
          <w:bCs/>
          <w:sz w:val="22"/>
          <w:szCs w:val="22"/>
        </w:rPr>
        <w:t>Publica</w:t>
      </w:r>
      <w:proofErr w:type="spellEnd"/>
      <w:r w:rsidRPr="00FD7602">
        <w:rPr>
          <w:rFonts w:ascii="Garamond" w:hAnsi="Garamond"/>
          <w:bCs/>
          <w:sz w:val="22"/>
          <w:szCs w:val="22"/>
        </w:rPr>
        <w:t xml:space="preserve"> y por </w:t>
      </w:r>
      <w:proofErr w:type="gramStart"/>
      <w:r w:rsidRPr="00FD7602">
        <w:rPr>
          <w:rFonts w:ascii="Garamond" w:hAnsi="Garamond"/>
          <w:bCs/>
          <w:sz w:val="22"/>
          <w:szCs w:val="22"/>
        </w:rPr>
        <w:t>ultimo</w:t>
      </w:r>
      <w:proofErr w:type="gramEnd"/>
      <w:r w:rsidRPr="00FD7602">
        <w:rPr>
          <w:rFonts w:ascii="Garamond" w:hAnsi="Garamond"/>
          <w:bCs/>
          <w:sz w:val="22"/>
          <w:szCs w:val="22"/>
        </w:rPr>
        <w:t xml:space="preserve"> Selección Abreviada de Menor Cuantía.</w:t>
      </w:r>
    </w:p>
    <w:p w14:paraId="236EE933" w14:textId="77777777" w:rsidR="001A0216" w:rsidRPr="00FD7602" w:rsidRDefault="001A0216" w:rsidP="001A0216">
      <w:pPr>
        <w:pStyle w:val="Textoindependiente"/>
        <w:tabs>
          <w:tab w:val="left" w:pos="8080"/>
        </w:tabs>
        <w:spacing w:before="11"/>
        <w:jc w:val="both"/>
        <w:rPr>
          <w:rFonts w:ascii="Garamond" w:hAnsi="Garamond"/>
          <w:bCs/>
          <w:sz w:val="22"/>
          <w:szCs w:val="22"/>
        </w:rPr>
      </w:pPr>
    </w:p>
    <w:p w14:paraId="70F51DF8" w14:textId="77777777" w:rsidR="001A0216" w:rsidRPr="00FD7602" w:rsidRDefault="001A0216" w:rsidP="001A0216">
      <w:pPr>
        <w:pStyle w:val="Textoindependiente"/>
        <w:tabs>
          <w:tab w:val="left" w:pos="8080"/>
        </w:tabs>
        <w:spacing w:before="11"/>
        <w:jc w:val="both"/>
        <w:rPr>
          <w:rFonts w:ascii="Garamond" w:hAnsi="Garamond"/>
          <w:bCs/>
          <w:sz w:val="22"/>
          <w:szCs w:val="22"/>
        </w:rPr>
      </w:pPr>
      <w:r w:rsidRPr="00FD7602">
        <w:rPr>
          <w:rFonts w:ascii="Garamond" w:hAnsi="Garamond"/>
          <w:bCs/>
          <w:noProof/>
          <w:sz w:val="22"/>
          <w:szCs w:val="22"/>
          <w14:ligatures w14:val="standardContextual"/>
        </w:rPr>
        <w:drawing>
          <wp:inline distT="0" distB="0" distL="0" distR="0" wp14:anchorId="008BFD39" wp14:editId="157E259D">
            <wp:extent cx="5612130" cy="2735580"/>
            <wp:effectExtent l="0" t="0" r="7620" b="7620"/>
            <wp:docPr id="164655662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556625" name="Imagen 1646556625"/>
                    <pic:cNvPicPr/>
                  </pic:nvPicPr>
                  <pic:blipFill>
                    <a:blip r:embed="rId24">
                      <a:extLst>
                        <a:ext uri="{28A0092B-C50C-407E-A947-70E740481C1C}">
                          <a14:useLocalDpi xmlns:a14="http://schemas.microsoft.com/office/drawing/2010/main" val="0"/>
                        </a:ext>
                      </a:extLst>
                    </a:blip>
                    <a:stretch>
                      <a:fillRect/>
                    </a:stretch>
                  </pic:blipFill>
                  <pic:spPr>
                    <a:xfrm>
                      <a:off x="0" y="0"/>
                      <a:ext cx="5612130" cy="2735580"/>
                    </a:xfrm>
                    <a:prstGeom prst="rect">
                      <a:avLst/>
                    </a:prstGeom>
                  </pic:spPr>
                </pic:pic>
              </a:graphicData>
            </a:graphic>
          </wp:inline>
        </w:drawing>
      </w:r>
    </w:p>
    <w:p w14:paraId="068BA823" w14:textId="77777777" w:rsidR="001A0216" w:rsidRPr="00FD7602" w:rsidRDefault="001A0216" w:rsidP="001A0216">
      <w:pPr>
        <w:pStyle w:val="Textoindependiente"/>
        <w:tabs>
          <w:tab w:val="left" w:pos="8080"/>
        </w:tabs>
        <w:spacing w:before="11"/>
        <w:jc w:val="both"/>
        <w:rPr>
          <w:rFonts w:ascii="Garamond" w:hAnsi="Garamond"/>
          <w:bCs/>
          <w:sz w:val="22"/>
          <w:szCs w:val="22"/>
        </w:rPr>
      </w:pPr>
      <w:r w:rsidRPr="00FD7602">
        <w:rPr>
          <w:rFonts w:ascii="Garamond" w:hAnsi="Garamond"/>
          <w:bCs/>
          <w:noProof/>
          <w:sz w:val="22"/>
          <w:szCs w:val="22"/>
          <w14:ligatures w14:val="standardContextual"/>
        </w:rPr>
        <w:lastRenderedPageBreak/>
        <w:drawing>
          <wp:inline distT="0" distB="0" distL="0" distR="0" wp14:anchorId="2375AA77" wp14:editId="74195F92">
            <wp:extent cx="5612130" cy="1478915"/>
            <wp:effectExtent l="0" t="0" r="7620" b="6985"/>
            <wp:docPr id="75337187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371875" name="Imagen 753371875"/>
                    <pic:cNvPicPr/>
                  </pic:nvPicPr>
                  <pic:blipFill>
                    <a:blip r:embed="rId25">
                      <a:extLst>
                        <a:ext uri="{28A0092B-C50C-407E-A947-70E740481C1C}">
                          <a14:useLocalDpi xmlns:a14="http://schemas.microsoft.com/office/drawing/2010/main" val="0"/>
                        </a:ext>
                      </a:extLst>
                    </a:blip>
                    <a:stretch>
                      <a:fillRect/>
                    </a:stretch>
                  </pic:blipFill>
                  <pic:spPr>
                    <a:xfrm>
                      <a:off x="0" y="0"/>
                      <a:ext cx="5612130" cy="1478915"/>
                    </a:xfrm>
                    <a:prstGeom prst="rect">
                      <a:avLst/>
                    </a:prstGeom>
                  </pic:spPr>
                </pic:pic>
              </a:graphicData>
            </a:graphic>
          </wp:inline>
        </w:drawing>
      </w:r>
    </w:p>
    <w:p w14:paraId="36BDEFB4" w14:textId="77777777" w:rsidR="001A0216" w:rsidRPr="00FD7602" w:rsidRDefault="001A0216" w:rsidP="001A0216">
      <w:pPr>
        <w:pStyle w:val="Textoindependiente"/>
        <w:tabs>
          <w:tab w:val="left" w:pos="8080"/>
        </w:tabs>
        <w:ind w:right="232"/>
        <w:jc w:val="center"/>
        <w:rPr>
          <w:rFonts w:ascii="Garamond" w:hAnsi="Garamond"/>
          <w:bCs/>
          <w:sz w:val="22"/>
          <w:szCs w:val="22"/>
        </w:rPr>
      </w:pPr>
    </w:p>
    <w:p w14:paraId="2FA18D94" w14:textId="77777777" w:rsidR="001A0216" w:rsidRPr="00FD7602" w:rsidRDefault="001A0216" w:rsidP="001A0216">
      <w:pPr>
        <w:rPr>
          <w:rFonts w:ascii="Garamond" w:hAnsi="Garamond"/>
          <w:sz w:val="22"/>
          <w:szCs w:val="22"/>
        </w:rPr>
      </w:pPr>
    </w:p>
    <w:p w14:paraId="00C87EF6" w14:textId="77777777" w:rsidR="00257E44" w:rsidRPr="00FD7602" w:rsidRDefault="00257E44" w:rsidP="00257E44">
      <w:pPr>
        <w:tabs>
          <w:tab w:val="left" w:pos="8080"/>
        </w:tabs>
        <w:jc w:val="center"/>
        <w:rPr>
          <w:rFonts w:ascii="Garamond" w:hAnsi="Garamond"/>
          <w:noProof/>
          <w:sz w:val="22"/>
          <w:szCs w:val="22"/>
          <w:lang w:eastAsia="es-CO"/>
        </w:rPr>
      </w:pPr>
    </w:p>
    <w:p w14:paraId="26BB60E3" w14:textId="77777777" w:rsidR="00257E44" w:rsidRPr="00FD7602" w:rsidRDefault="00257E44" w:rsidP="00257E44">
      <w:pPr>
        <w:tabs>
          <w:tab w:val="left" w:pos="8080"/>
        </w:tabs>
        <w:rPr>
          <w:rFonts w:ascii="Garamond" w:hAnsi="Garamond"/>
          <w:noProof/>
          <w:sz w:val="22"/>
          <w:szCs w:val="22"/>
          <w:lang w:val="en-US" w:eastAsia="en-US"/>
          <w14:ligatures w14:val="standardContextual"/>
        </w:rPr>
      </w:pPr>
    </w:p>
    <w:p w14:paraId="7D809CCF" w14:textId="77777777" w:rsidR="00257E44" w:rsidRPr="00FD7602" w:rsidRDefault="00257E44" w:rsidP="00257E44">
      <w:pPr>
        <w:tabs>
          <w:tab w:val="left" w:pos="8080"/>
        </w:tabs>
        <w:jc w:val="center"/>
        <w:rPr>
          <w:rFonts w:ascii="Garamond" w:hAnsi="Garamond"/>
          <w:sz w:val="22"/>
          <w:szCs w:val="22"/>
        </w:rPr>
      </w:pPr>
    </w:p>
    <w:p w14:paraId="4A0CAD51" w14:textId="77777777" w:rsidR="00257E44" w:rsidRPr="00FD7602" w:rsidRDefault="00257E44" w:rsidP="00257E44">
      <w:pPr>
        <w:pStyle w:val="Textoindependiente"/>
        <w:tabs>
          <w:tab w:val="left" w:pos="8080"/>
        </w:tabs>
        <w:spacing w:after="0"/>
        <w:ind w:right="227"/>
        <w:jc w:val="both"/>
        <w:rPr>
          <w:rFonts w:ascii="Garamond" w:hAnsi="Garamond"/>
          <w:bCs/>
          <w:sz w:val="22"/>
          <w:szCs w:val="22"/>
        </w:rPr>
      </w:pPr>
      <w:bookmarkStart w:id="4" w:name="_Hlk143812611"/>
    </w:p>
    <w:bookmarkEnd w:id="4"/>
    <w:p w14:paraId="6361E540" w14:textId="77777777" w:rsidR="00257E44" w:rsidRPr="00FD7602" w:rsidRDefault="00257E44" w:rsidP="00257E44">
      <w:pPr>
        <w:pStyle w:val="Estilo1TituloEstudiodelsector"/>
        <w:numPr>
          <w:ilvl w:val="1"/>
          <w:numId w:val="40"/>
        </w:numPr>
        <w:rPr>
          <w:rFonts w:cs="Times New Roman"/>
          <w:sz w:val="22"/>
          <w:szCs w:val="22"/>
        </w:rPr>
      </w:pPr>
      <w:r w:rsidRPr="00FD7602">
        <w:rPr>
          <w:rFonts w:cs="Times New Roman"/>
          <w:sz w:val="22"/>
          <w:szCs w:val="22"/>
        </w:rPr>
        <w:t xml:space="preserve">ESTUDIO DE LA DEMANDA </w:t>
      </w:r>
    </w:p>
    <w:p w14:paraId="3DA4A683" w14:textId="77777777" w:rsidR="00257E44" w:rsidRPr="00FD7602" w:rsidRDefault="00257E44" w:rsidP="00257E44">
      <w:pPr>
        <w:pStyle w:val="Estilo1TituloEstudiodelsector"/>
        <w:numPr>
          <w:ilvl w:val="0"/>
          <w:numId w:val="0"/>
        </w:numPr>
        <w:ind w:left="720"/>
        <w:rPr>
          <w:rFonts w:cs="Times New Roman"/>
          <w:sz w:val="22"/>
          <w:szCs w:val="22"/>
        </w:rPr>
      </w:pPr>
    </w:p>
    <w:p w14:paraId="7094B665" w14:textId="77777777" w:rsidR="00257E44" w:rsidRPr="00FD7602" w:rsidRDefault="00257E44" w:rsidP="00257E44">
      <w:pPr>
        <w:pStyle w:val="Sinespaciado"/>
        <w:numPr>
          <w:ilvl w:val="0"/>
          <w:numId w:val="9"/>
        </w:numPr>
        <w:tabs>
          <w:tab w:val="left" w:pos="8080"/>
        </w:tabs>
        <w:suppressAutoHyphens/>
        <w:spacing w:after="160" w:line="276" w:lineRule="auto"/>
        <w:jc w:val="both"/>
        <w:rPr>
          <w:rFonts w:ascii="Garamond" w:hAnsi="Garamond"/>
          <w:b/>
        </w:rPr>
      </w:pPr>
      <w:r w:rsidRPr="00FD7602">
        <w:rPr>
          <w:rFonts w:ascii="Garamond" w:hAnsi="Garamond"/>
        </w:rPr>
        <w:t>Adquisiciones de otras entidades</w:t>
      </w:r>
    </w:p>
    <w:p w14:paraId="1426337C"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r w:rsidRPr="00FD7602">
        <w:rPr>
          <w:rFonts w:ascii="Garamond" w:hAnsi="Garamond"/>
          <w:sz w:val="22"/>
          <w:szCs w:val="22"/>
        </w:rPr>
        <w:t>El estudio está realizado mediante la investigación de mercado que contempla los sectores que puedan ofrecer sus bienes o servicios.</w:t>
      </w:r>
    </w:p>
    <w:p w14:paraId="1891DA04"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p>
    <w:p w14:paraId="2E65873F"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r w:rsidRPr="00FD7602">
        <w:rPr>
          <w:rFonts w:ascii="Garamond" w:hAnsi="Garamond"/>
          <w:sz w:val="22"/>
          <w:szCs w:val="22"/>
        </w:rPr>
        <w:t>A continuación, se debe consolidar la matriz de adquisiciones previas del FDLCB y de otras entidades distritales o territoriales, con objetos iguales o similares relacionados con pueblos indígenas, medicina ancestral, prácticas culturales, conmemoraciones, fortalecimiento organizativo, servicios socioculturales, eventos comunitarios, logística y promoción cultural. La búsqueda debe incluir SECOP II, MAE de Colombia Compra Eficiente y fuentes públicas institucionales.</w:t>
      </w:r>
    </w:p>
    <w:p w14:paraId="080253C8"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p>
    <w:p w14:paraId="5C54D59A"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p>
    <w:tbl>
      <w:tblPr>
        <w:tblStyle w:val="Tablaconcuadrcula"/>
        <w:tblW w:w="0" w:type="auto"/>
        <w:tblLayout w:type="fixed"/>
        <w:tblLook w:val="04A0" w:firstRow="1" w:lastRow="0" w:firstColumn="1" w:lastColumn="0" w:noHBand="0" w:noVBand="1"/>
      </w:tblPr>
      <w:tblGrid>
        <w:gridCol w:w="1838"/>
        <w:gridCol w:w="6941"/>
      </w:tblGrid>
      <w:tr w:rsidR="00257E44" w:rsidRPr="00FD7602" w14:paraId="72A441F4" w14:textId="77777777" w:rsidTr="00A612C3">
        <w:tc>
          <w:tcPr>
            <w:tcW w:w="1838" w:type="dxa"/>
          </w:tcPr>
          <w:p w14:paraId="3D936CC2" w14:textId="77777777" w:rsidR="00257E44" w:rsidRPr="00FD7602" w:rsidRDefault="00257E44" w:rsidP="006D3122">
            <w:pPr>
              <w:rPr>
                <w:rFonts w:ascii="Garamond" w:hAnsi="Garamond"/>
                <w:sz w:val="22"/>
                <w:szCs w:val="22"/>
              </w:rPr>
            </w:pPr>
            <w:r w:rsidRPr="00FD7602">
              <w:rPr>
                <w:rFonts w:ascii="Garamond" w:hAnsi="Garamond"/>
                <w:sz w:val="22"/>
                <w:szCs w:val="22"/>
              </w:rPr>
              <w:t>No. Proceso de selección</w:t>
            </w:r>
          </w:p>
        </w:tc>
        <w:tc>
          <w:tcPr>
            <w:tcW w:w="6941" w:type="dxa"/>
          </w:tcPr>
          <w:p w14:paraId="5BC012F6" w14:textId="77777777" w:rsidR="00257E44" w:rsidRPr="00FD7602" w:rsidRDefault="000D6F11" w:rsidP="000769AA">
            <w:pPr>
              <w:rPr>
                <w:rFonts w:ascii="Garamond" w:hAnsi="Garamond"/>
                <w:sz w:val="22"/>
                <w:szCs w:val="22"/>
              </w:rPr>
            </w:pPr>
            <w:r w:rsidRPr="00FD7602">
              <w:rPr>
                <w:rFonts w:ascii="Garamond" w:hAnsi="Garamond"/>
                <w:sz w:val="22"/>
                <w:szCs w:val="22"/>
              </w:rPr>
              <w:t>FDLM-CD-040-2024 (125805)</w:t>
            </w:r>
          </w:p>
        </w:tc>
      </w:tr>
      <w:tr w:rsidR="00257E44" w:rsidRPr="000A1248" w14:paraId="41FE0BAA" w14:textId="77777777" w:rsidTr="00A612C3">
        <w:tc>
          <w:tcPr>
            <w:tcW w:w="1838" w:type="dxa"/>
          </w:tcPr>
          <w:p w14:paraId="22831EA2" w14:textId="77777777" w:rsidR="00257E44" w:rsidRPr="00FD7602" w:rsidRDefault="00257E44" w:rsidP="006D3122">
            <w:pPr>
              <w:rPr>
                <w:rFonts w:ascii="Garamond" w:hAnsi="Garamond"/>
                <w:sz w:val="22"/>
                <w:szCs w:val="22"/>
              </w:rPr>
            </w:pPr>
            <w:proofErr w:type="gramStart"/>
            <w:r w:rsidRPr="00FD7602">
              <w:rPr>
                <w:rFonts w:ascii="Garamond" w:hAnsi="Garamond"/>
                <w:sz w:val="22"/>
                <w:szCs w:val="22"/>
              </w:rPr>
              <w:t>Link</w:t>
            </w:r>
            <w:proofErr w:type="gramEnd"/>
            <w:r w:rsidRPr="00FD7602">
              <w:rPr>
                <w:rFonts w:ascii="Garamond" w:hAnsi="Garamond"/>
                <w:sz w:val="22"/>
                <w:szCs w:val="22"/>
              </w:rPr>
              <w:t xml:space="preserve"> </w:t>
            </w:r>
          </w:p>
        </w:tc>
        <w:tc>
          <w:tcPr>
            <w:tcW w:w="6941" w:type="dxa"/>
          </w:tcPr>
          <w:p w14:paraId="1B3B0365" w14:textId="77777777" w:rsidR="00257E44" w:rsidRPr="00FD7602" w:rsidRDefault="000769AA" w:rsidP="006D3122">
            <w:pPr>
              <w:rPr>
                <w:rFonts w:ascii="Garamond" w:hAnsi="Garamond"/>
                <w:sz w:val="22"/>
                <w:szCs w:val="22"/>
                <w:lang w:val="en-US"/>
              </w:rPr>
            </w:pPr>
            <w:r w:rsidRPr="00FD7602">
              <w:rPr>
                <w:rFonts w:ascii="Garamond" w:hAnsi="Garamond"/>
                <w:sz w:val="22"/>
                <w:szCs w:val="22"/>
                <w:lang w:val="en-US"/>
              </w:rPr>
              <w:t>CO1.PCCNTR.7184025</w:t>
            </w:r>
            <w:r w:rsidR="00C979FF" w:rsidRPr="00FD7602">
              <w:rPr>
                <w:rFonts w:ascii="Garamond" w:hAnsi="Garamond"/>
                <w:sz w:val="22"/>
                <w:szCs w:val="22"/>
                <w:lang w:val="en-US"/>
              </w:rPr>
              <w:t xml:space="preserve"> / </w:t>
            </w:r>
            <w:hyperlink r:id="rId26" w:history="1">
              <w:r w:rsidR="00C979FF" w:rsidRPr="00FD7602">
                <w:rPr>
                  <w:rStyle w:val="Hipervnculo"/>
                  <w:rFonts w:ascii="Garamond" w:hAnsi="Garamond"/>
                  <w:sz w:val="22"/>
                  <w:szCs w:val="22"/>
                  <w:lang w:val="en-US"/>
                </w:rPr>
                <w:t>https://www.secop.gov.co/CO1BusinessLine/Tendering/ContractNoticeView/Index?prevCtxLbl=Buscar+procesos&amp;prevCtxUrl=https%3a%2f%2fwww.secop.gov.co%3a443%2fCO1BusinessLine%2fTendering%2fContractNoticeManagement%2fIndex&amp;notice=CO1.NTC.7255241</w:t>
              </w:r>
            </w:hyperlink>
            <w:r w:rsidR="00C979FF" w:rsidRPr="00FD7602">
              <w:rPr>
                <w:rFonts w:ascii="Garamond" w:hAnsi="Garamond"/>
                <w:sz w:val="22"/>
                <w:szCs w:val="22"/>
                <w:lang w:val="en-US"/>
              </w:rPr>
              <w:t xml:space="preserve"> </w:t>
            </w:r>
          </w:p>
        </w:tc>
      </w:tr>
      <w:tr w:rsidR="00257E44" w:rsidRPr="00FD7602" w14:paraId="3E30F7F7" w14:textId="77777777" w:rsidTr="00A612C3">
        <w:tc>
          <w:tcPr>
            <w:tcW w:w="1838" w:type="dxa"/>
          </w:tcPr>
          <w:p w14:paraId="4A1247A8" w14:textId="77777777" w:rsidR="00257E44" w:rsidRPr="00FD7602" w:rsidRDefault="00257E44" w:rsidP="006D3122">
            <w:pPr>
              <w:rPr>
                <w:rFonts w:ascii="Garamond" w:hAnsi="Garamond"/>
                <w:sz w:val="22"/>
                <w:szCs w:val="22"/>
              </w:rPr>
            </w:pPr>
            <w:r w:rsidRPr="00FD7602">
              <w:rPr>
                <w:rFonts w:ascii="Garamond" w:hAnsi="Garamond"/>
                <w:sz w:val="22"/>
                <w:szCs w:val="22"/>
              </w:rPr>
              <w:t>Entidad Estatal:</w:t>
            </w:r>
          </w:p>
        </w:tc>
        <w:tc>
          <w:tcPr>
            <w:tcW w:w="6941" w:type="dxa"/>
          </w:tcPr>
          <w:p w14:paraId="3A53DC23" w14:textId="77777777" w:rsidR="00257E44" w:rsidRPr="00FD7602" w:rsidRDefault="00C979FF" w:rsidP="006D3122">
            <w:pPr>
              <w:rPr>
                <w:rFonts w:ascii="Garamond" w:hAnsi="Garamond"/>
                <w:sz w:val="22"/>
                <w:szCs w:val="22"/>
              </w:rPr>
            </w:pPr>
            <w:r w:rsidRPr="00FD7602">
              <w:rPr>
                <w:rFonts w:ascii="Garamond" w:hAnsi="Garamond"/>
                <w:sz w:val="22"/>
                <w:szCs w:val="22"/>
              </w:rPr>
              <w:t>FONDO DE DESARROLLO LOCAL DE LOS MARTIRES</w:t>
            </w:r>
          </w:p>
        </w:tc>
      </w:tr>
      <w:tr w:rsidR="00257E44" w:rsidRPr="00FD7602" w14:paraId="17A6A063" w14:textId="77777777" w:rsidTr="00A612C3">
        <w:tc>
          <w:tcPr>
            <w:tcW w:w="1838" w:type="dxa"/>
          </w:tcPr>
          <w:p w14:paraId="77A5A2FB" w14:textId="77777777" w:rsidR="00257E44" w:rsidRPr="00FD7602" w:rsidRDefault="00257E44" w:rsidP="006D3122">
            <w:pPr>
              <w:rPr>
                <w:rFonts w:ascii="Garamond" w:hAnsi="Garamond"/>
                <w:sz w:val="22"/>
                <w:szCs w:val="22"/>
              </w:rPr>
            </w:pPr>
            <w:r w:rsidRPr="00FD7602">
              <w:rPr>
                <w:rFonts w:ascii="Garamond" w:hAnsi="Garamond"/>
                <w:sz w:val="22"/>
                <w:szCs w:val="22"/>
              </w:rPr>
              <w:t>Año proceso de selección</w:t>
            </w:r>
          </w:p>
        </w:tc>
        <w:tc>
          <w:tcPr>
            <w:tcW w:w="6941" w:type="dxa"/>
          </w:tcPr>
          <w:p w14:paraId="286A78BD" w14:textId="77777777" w:rsidR="00257E44" w:rsidRPr="00FD7602" w:rsidRDefault="0013008F" w:rsidP="006D3122">
            <w:pPr>
              <w:rPr>
                <w:rFonts w:ascii="Garamond" w:hAnsi="Garamond"/>
                <w:sz w:val="22"/>
                <w:szCs w:val="22"/>
              </w:rPr>
            </w:pPr>
            <w:r w:rsidRPr="00FD7602">
              <w:rPr>
                <w:rFonts w:ascii="Garamond" w:hAnsi="Garamond"/>
                <w:sz w:val="22"/>
                <w:szCs w:val="22"/>
              </w:rPr>
              <w:t>2024</w:t>
            </w:r>
          </w:p>
        </w:tc>
      </w:tr>
      <w:tr w:rsidR="00257E44" w:rsidRPr="00FD7602" w14:paraId="55C41071" w14:textId="77777777" w:rsidTr="00A612C3">
        <w:tc>
          <w:tcPr>
            <w:tcW w:w="1838" w:type="dxa"/>
          </w:tcPr>
          <w:p w14:paraId="6E63B281" w14:textId="77777777" w:rsidR="00257E44" w:rsidRPr="00FD7602" w:rsidRDefault="00257E44" w:rsidP="006D3122">
            <w:pPr>
              <w:rPr>
                <w:rFonts w:ascii="Garamond" w:hAnsi="Garamond"/>
                <w:sz w:val="22"/>
                <w:szCs w:val="22"/>
              </w:rPr>
            </w:pPr>
            <w:r w:rsidRPr="00FD7602">
              <w:rPr>
                <w:rFonts w:ascii="Garamond" w:hAnsi="Garamond"/>
                <w:sz w:val="22"/>
                <w:szCs w:val="22"/>
              </w:rPr>
              <w:t>Presupuesto oficial</w:t>
            </w:r>
          </w:p>
        </w:tc>
        <w:tc>
          <w:tcPr>
            <w:tcW w:w="6941" w:type="dxa"/>
          </w:tcPr>
          <w:p w14:paraId="01C3F614" w14:textId="77777777" w:rsidR="00257E44" w:rsidRPr="00FD7602" w:rsidRDefault="003709B4" w:rsidP="006D3122">
            <w:pPr>
              <w:rPr>
                <w:rFonts w:ascii="Garamond" w:hAnsi="Garamond"/>
                <w:sz w:val="22"/>
                <w:szCs w:val="22"/>
              </w:rPr>
            </w:pPr>
            <w:r w:rsidRPr="00FD7602">
              <w:rPr>
                <w:rFonts w:ascii="Garamond" w:hAnsi="Garamond"/>
                <w:sz w:val="22"/>
                <w:szCs w:val="22"/>
              </w:rPr>
              <w:t>$ 50.500.000</w:t>
            </w:r>
          </w:p>
        </w:tc>
      </w:tr>
      <w:tr w:rsidR="00257E44" w:rsidRPr="00FD7602" w14:paraId="5AF136CC" w14:textId="77777777" w:rsidTr="00A612C3">
        <w:tc>
          <w:tcPr>
            <w:tcW w:w="1838" w:type="dxa"/>
          </w:tcPr>
          <w:p w14:paraId="5DB79B37" w14:textId="77777777" w:rsidR="00257E44" w:rsidRPr="00FD7602" w:rsidRDefault="00257E44" w:rsidP="006D3122">
            <w:pPr>
              <w:jc w:val="both"/>
              <w:rPr>
                <w:rFonts w:ascii="Garamond" w:hAnsi="Garamond"/>
                <w:sz w:val="22"/>
                <w:szCs w:val="22"/>
              </w:rPr>
            </w:pPr>
            <w:r w:rsidRPr="00FD7602">
              <w:rPr>
                <w:rFonts w:ascii="Garamond" w:hAnsi="Garamond"/>
                <w:sz w:val="22"/>
                <w:szCs w:val="22"/>
              </w:rPr>
              <w:t>Objeto</w:t>
            </w:r>
          </w:p>
        </w:tc>
        <w:tc>
          <w:tcPr>
            <w:tcW w:w="6941" w:type="dxa"/>
          </w:tcPr>
          <w:p w14:paraId="67CA677E" w14:textId="77777777" w:rsidR="00257E44" w:rsidRPr="00FD7602" w:rsidRDefault="00DA0BCD" w:rsidP="006D3122">
            <w:pPr>
              <w:jc w:val="both"/>
              <w:rPr>
                <w:rFonts w:ascii="Garamond" w:hAnsi="Garamond"/>
                <w:sz w:val="22"/>
                <w:szCs w:val="22"/>
              </w:rPr>
            </w:pPr>
            <w:r w:rsidRPr="00FD7602">
              <w:rPr>
                <w:rFonts w:ascii="Garamond" w:hAnsi="Garamond"/>
                <w:sz w:val="22"/>
                <w:szCs w:val="22"/>
              </w:rPr>
              <w:t>VINCULAR PERSONAS DE LA LOCALIDAD DE LOS MÁRTIRES A LAS ACCIONES Y ESTRATEGIAS DE RECONOCIMIENTO DE LOS SABERES ANCESTRALES, EN EL MARCO DEL PROYECTO 2043- AYUDAS TÉCNICAS Y MEDICINA ANCESTRALINDIGENAS</w:t>
            </w:r>
          </w:p>
        </w:tc>
      </w:tr>
      <w:tr w:rsidR="00257E44" w:rsidRPr="00FD7602" w14:paraId="7AD85089" w14:textId="77777777" w:rsidTr="00A612C3">
        <w:tc>
          <w:tcPr>
            <w:tcW w:w="1838" w:type="dxa"/>
          </w:tcPr>
          <w:p w14:paraId="72D00AC5" w14:textId="77777777" w:rsidR="00257E44" w:rsidRPr="00FD7602" w:rsidRDefault="00257E44" w:rsidP="006D3122">
            <w:pPr>
              <w:rPr>
                <w:rFonts w:ascii="Garamond" w:hAnsi="Garamond"/>
                <w:sz w:val="22"/>
                <w:szCs w:val="22"/>
              </w:rPr>
            </w:pPr>
            <w:r w:rsidRPr="00FD7602">
              <w:rPr>
                <w:rFonts w:ascii="Garamond" w:hAnsi="Garamond"/>
                <w:sz w:val="22"/>
                <w:szCs w:val="22"/>
              </w:rPr>
              <w:t>Modalidad de selección</w:t>
            </w:r>
          </w:p>
        </w:tc>
        <w:tc>
          <w:tcPr>
            <w:tcW w:w="6941" w:type="dxa"/>
          </w:tcPr>
          <w:p w14:paraId="323A1F87" w14:textId="77777777" w:rsidR="00257E44" w:rsidRPr="00FD7602" w:rsidRDefault="00D4426B" w:rsidP="006D3122">
            <w:pPr>
              <w:rPr>
                <w:rFonts w:ascii="Garamond" w:hAnsi="Garamond"/>
                <w:sz w:val="22"/>
                <w:szCs w:val="22"/>
              </w:rPr>
            </w:pPr>
            <w:r w:rsidRPr="00FD7602">
              <w:rPr>
                <w:rFonts w:ascii="Garamond" w:hAnsi="Garamond"/>
                <w:sz w:val="22"/>
                <w:szCs w:val="22"/>
              </w:rPr>
              <w:t>DECRETO 092 DE 2017- CONTRATACIÓN DIRECTA</w:t>
            </w:r>
          </w:p>
        </w:tc>
      </w:tr>
      <w:tr w:rsidR="00257E44" w:rsidRPr="00FD7602" w14:paraId="051ECF26" w14:textId="77777777" w:rsidTr="00A612C3">
        <w:tc>
          <w:tcPr>
            <w:tcW w:w="1838" w:type="dxa"/>
          </w:tcPr>
          <w:p w14:paraId="57969772" w14:textId="77777777" w:rsidR="00257E44" w:rsidRPr="00FD7602" w:rsidRDefault="00257E44" w:rsidP="006D3122">
            <w:pPr>
              <w:rPr>
                <w:rFonts w:ascii="Garamond" w:hAnsi="Garamond"/>
                <w:sz w:val="22"/>
                <w:szCs w:val="22"/>
              </w:rPr>
            </w:pPr>
            <w:r w:rsidRPr="00FD7602">
              <w:rPr>
                <w:rFonts w:ascii="Garamond" w:hAnsi="Garamond"/>
                <w:sz w:val="22"/>
                <w:szCs w:val="22"/>
              </w:rPr>
              <w:lastRenderedPageBreak/>
              <w:t>Plazo de ejecución en meses</w:t>
            </w:r>
          </w:p>
        </w:tc>
        <w:tc>
          <w:tcPr>
            <w:tcW w:w="6941" w:type="dxa"/>
          </w:tcPr>
          <w:p w14:paraId="473CDE09" w14:textId="77777777" w:rsidR="00257E44" w:rsidRPr="00FD7602" w:rsidRDefault="00D4426B" w:rsidP="006D3122">
            <w:pPr>
              <w:rPr>
                <w:rFonts w:ascii="Garamond" w:hAnsi="Garamond"/>
                <w:sz w:val="22"/>
                <w:szCs w:val="22"/>
              </w:rPr>
            </w:pPr>
            <w:r w:rsidRPr="00FD7602">
              <w:rPr>
                <w:rFonts w:ascii="Garamond" w:hAnsi="Garamond"/>
                <w:sz w:val="22"/>
                <w:szCs w:val="22"/>
              </w:rPr>
              <w:t>4 MESES</w:t>
            </w:r>
          </w:p>
        </w:tc>
      </w:tr>
      <w:tr w:rsidR="00257E44" w:rsidRPr="00FD7602" w14:paraId="14D3AE2F" w14:textId="77777777" w:rsidTr="00A612C3">
        <w:tc>
          <w:tcPr>
            <w:tcW w:w="1838" w:type="dxa"/>
          </w:tcPr>
          <w:p w14:paraId="09FD8A0C" w14:textId="77777777" w:rsidR="00257E44" w:rsidRPr="00FD7602" w:rsidRDefault="00257E44" w:rsidP="006D3122">
            <w:pPr>
              <w:rPr>
                <w:rFonts w:ascii="Garamond" w:hAnsi="Garamond"/>
                <w:sz w:val="22"/>
                <w:szCs w:val="22"/>
              </w:rPr>
            </w:pPr>
            <w:r w:rsidRPr="00FD7602">
              <w:rPr>
                <w:rFonts w:ascii="Garamond" w:hAnsi="Garamond"/>
                <w:sz w:val="22"/>
                <w:szCs w:val="22"/>
              </w:rPr>
              <w:t>UNSPSC principal</w:t>
            </w:r>
          </w:p>
        </w:tc>
        <w:tc>
          <w:tcPr>
            <w:tcW w:w="6941" w:type="dxa"/>
          </w:tcPr>
          <w:p w14:paraId="5EA5AC66" w14:textId="77777777" w:rsidR="00257E44" w:rsidRPr="00FD7602" w:rsidRDefault="00D4426B" w:rsidP="006D3122">
            <w:pPr>
              <w:rPr>
                <w:rFonts w:ascii="Garamond" w:hAnsi="Garamond"/>
                <w:sz w:val="22"/>
                <w:szCs w:val="22"/>
              </w:rPr>
            </w:pPr>
            <w:r w:rsidRPr="00FD7602">
              <w:rPr>
                <w:rFonts w:ascii="Garamond" w:hAnsi="Garamond"/>
                <w:sz w:val="22"/>
                <w:szCs w:val="22"/>
              </w:rPr>
              <w:t xml:space="preserve">80101600- GERENCIA DE PROYECTOS </w:t>
            </w:r>
          </w:p>
        </w:tc>
      </w:tr>
      <w:tr w:rsidR="00257E44" w:rsidRPr="00FD7602" w14:paraId="6601276F" w14:textId="77777777" w:rsidTr="00A612C3">
        <w:tc>
          <w:tcPr>
            <w:tcW w:w="1838" w:type="dxa"/>
          </w:tcPr>
          <w:p w14:paraId="17CDEE7C" w14:textId="77777777" w:rsidR="00257E44" w:rsidRPr="00FD7602" w:rsidRDefault="00257E44" w:rsidP="006D3122">
            <w:pPr>
              <w:rPr>
                <w:rFonts w:ascii="Garamond" w:hAnsi="Garamond"/>
                <w:sz w:val="22"/>
                <w:szCs w:val="22"/>
              </w:rPr>
            </w:pPr>
            <w:r w:rsidRPr="00FD7602">
              <w:rPr>
                <w:rFonts w:ascii="Garamond" w:hAnsi="Garamond"/>
                <w:sz w:val="22"/>
                <w:szCs w:val="22"/>
              </w:rPr>
              <w:t>Indicadores de capacidad financiera y organizacional</w:t>
            </w:r>
          </w:p>
        </w:tc>
        <w:tc>
          <w:tcPr>
            <w:tcW w:w="6941" w:type="dxa"/>
          </w:tcPr>
          <w:p w14:paraId="5242C15E"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4319BC1E" w14:textId="77777777" w:rsidTr="00A612C3">
        <w:tc>
          <w:tcPr>
            <w:tcW w:w="1838" w:type="dxa"/>
          </w:tcPr>
          <w:p w14:paraId="5552C9EE" w14:textId="77777777" w:rsidR="00257E44" w:rsidRPr="00FD7602" w:rsidRDefault="00257E44" w:rsidP="006D3122">
            <w:pPr>
              <w:rPr>
                <w:rFonts w:ascii="Garamond" w:hAnsi="Garamond"/>
                <w:sz w:val="22"/>
                <w:szCs w:val="22"/>
              </w:rPr>
            </w:pPr>
            <w:r w:rsidRPr="00FD7602">
              <w:rPr>
                <w:rFonts w:ascii="Garamond" w:hAnsi="Garamond"/>
                <w:sz w:val="22"/>
                <w:szCs w:val="22"/>
              </w:rPr>
              <w:t>Experiencia mínima habilitante del proponente</w:t>
            </w:r>
          </w:p>
        </w:tc>
        <w:tc>
          <w:tcPr>
            <w:tcW w:w="6941" w:type="dxa"/>
          </w:tcPr>
          <w:p w14:paraId="64198BEC"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0F88D37B" w14:textId="77777777" w:rsidTr="00A612C3">
        <w:tc>
          <w:tcPr>
            <w:tcW w:w="1838" w:type="dxa"/>
          </w:tcPr>
          <w:p w14:paraId="4D52AD81" w14:textId="77777777" w:rsidR="00257E44" w:rsidRPr="00FD7602" w:rsidRDefault="00257E44" w:rsidP="006D3122">
            <w:pPr>
              <w:rPr>
                <w:rFonts w:ascii="Garamond" w:hAnsi="Garamond"/>
                <w:sz w:val="22"/>
                <w:szCs w:val="22"/>
              </w:rPr>
            </w:pPr>
            <w:r w:rsidRPr="00FD7602">
              <w:rPr>
                <w:rFonts w:ascii="Garamond" w:hAnsi="Garamond"/>
                <w:sz w:val="22"/>
                <w:szCs w:val="22"/>
              </w:rPr>
              <w:t>Margen Mínimo de Mejora (solo aplica para subastas)</w:t>
            </w:r>
          </w:p>
        </w:tc>
        <w:tc>
          <w:tcPr>
            <w:tcW w:w="6941" w:type="dxa"/>
          </w:tcPr>
          <w:p w14:paraId="77D70933"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5804212E" w14:textId="77777777" w:rsidTr="00A612C3">
        <w:tc>
          <w:tcPr>
            <w:tcW w:w="1838" w:type="dxa"/>
          </w:tcPr>
          <w:p w14:paraId="0F25C32B" w14:textId="77777777" w:rsidR="00257E44" w:rsidRPr="00FD7602" w:rsidRDefault="00257E44" w:rsidP="006D3122">
            <w:pPr>
              <w:rPr>
                <w:rFonts w:ascii="Garamond" w:hAnsi="Garamond"/>
                <w:sz w:val="22"/>
                <w:szCs w:val="22"/>
              </w:rPr>
            </w:pPr>
            <w:r w:rsidRPr="00FD7602">
              <w:rPr>
                <w:rFonts w:ascii="Garamond" w:hAnsi="Garamond"/>
                <w:sz w:val="22"/>
                <w:szCs w:val="22"/>
              </w:rPr>
              <w:t>No. Contrato</w:t>
            </w:r>
          </w:p>
        </w:tc>
        <w:tc>
          <w:tcPr>
            <w:tcW w:w="6941" w:type="dxa"/>
          </w:tcPr>
          <w:p w14:paraId="36BD05EA" w14:textId="77777777" w:rsidR="00A612C3" w:rsidRPr="00FD7602" w:rsidRDefault="00A612C3" w:rsidP="00A612C3">
            <w:pPr>
              <w:rPr>
                <w:rFonts w:ascii="Garamond" w:hAnsi="Garamond"/>
                <w:sz w:val="22"/>
                <w:szCs w:val="22"/>
              </w:rPr>
            </w:pPr>
            <w:r w:rsidRPr="00FD7602">
              <w:rPr>
                <w:rFonts w:ascii="Garamond" w:hAnsi="Garamond"/>
                <w:sz w:val="22"/>
                <w:szCs w:val="22"/>
              </w:rPr>
              <w:tab/>
              <w:t xml:space="preserve"> </w:t>
            </w:r>
          </w:p>
          <w:p w14:paraId="0C98ABD1" w14:textId="77777777" w:rsidR="00257E44" w:rsidRPr="00FD7602" w:rsidRDefault="00A612C3" w:rsidP="00A612C3">
            <w:pPr>
              <w:rPr>
                <w:rFonts w:ascii="Garamond" w:hAnsi="Garamond"/>
                <w:sz w:val="22"/>
                <w:szCs w:val="22"/>
              </w:rPr>
            </w:pPr>
            <w:r w:rsidRPr="00FD7602">
              <w:rPr>
                <w:rFonts w:ascii="Garamond" w:hAnsi="Garamond"/>
                <w:sz w:val="22"/>
                <w:szCs w:val="22"/>
              </w:rPr>
              <w:t>FDLM-340-2024 (125805)</w:t>
            </w:r>
          </w:p>
        </w:tc>
      </w:tr>
    </w:tbl>
    <w:p w14:paraId="3179BAA7"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p>
    <w:p w14:paraId="25FA6373" w14:textId="77777777" w:rsidR="00257E44" w:rsidRPr="00FD7602" w:rsidRDefault="00257E44" w:rsidP="00257E44">
      <w:pPr>
        <w:pStyle w:val="Prrafodelista"/>
        <w:tabs>
          <w:tab w:val="left" w:pos="567"/>
          <w:tab w:val="left" w:pos="8080"/>
        </w:tabs>
        <w:ind w:left="0" w:right="51"/>
        <w:jc w:val="both"/>
        <w:rPr>
          <w:rFonts w:ascii="Garamond" w:hAnsi="Garamond"/>
          <w:sz w:val="22"/>
          <w:szCs w:val="22"/>
        </w:rPr>
      </w:pPr>
    </w:p>
    <w:p w14:paraId="11C5F0E5" w14:textId="77777777" w:rsidR="00257E44" w:rsidRPr="00FD7602" w:rsidRDefault="00257E44" w:rsidP="00257E44">
      <w:pPr>
        <w:pStyle w:val="Prrafodelista"/>
        <w:tabs>
          <w:tab w:val="left" w:pos="567"/>
          <w:tab w:val="left" w:pos="8647"/>
        </w:tabs>
        <w:spacing w:line="276" w:lineRule="auto"/>
        <w:ind w:left="0" w:right="51"/>
        <w:jc w:val="both"/>
        <w:rPr>
          <w:rFonts w:ascii="Garamond" w:hAnsi="Garamond"/>
          <w:sz w:val="22"/>
          <w:szCs w:val="22"/>
        </w:rPr>
      </w:pPr>
    </w:p>
    <w:tbl>
      <w:tblPr>
        <w:tblStyle w:val="Tablaconcuadrcula"/>
        <w:tblW w:w="0" w:type="auto"/>
        <w:tblLayout w:type="fixed"/>
        <w:tblLook w:val="04A0" w:firstRow="1" w:lastRow="0" w:firstColumn="1" w:lastColumn="0" w:noHBand="0" w:noVBand="1"/>
      </w:tblPr>
      <w:tblGrid>
        <w:gridCol w:w="2122"/>
        <w:gridCol w:w="6657"/>
      </w:tblGrid>
      <w:tr w:rsidR="00257E44" w:rsidRPr="00FD7602" w14:paraId="72D4FFBC" w14:textId="77777777" w:rsidTr="000B7ED1">
        <w:trPr>
          <w:trHeight w:val="481"/>
        </w:trPr>
        <w:tc>
          <w:tcPr>
            <w:tcW w:w="2122" w:type="dxa"/>
          </w:tcPr>
          <w:p w14:paraId="71B74AEB" w14:textId="77777777" w:rsidR="00257E44" w:rsidRPr="00FD7602" w:rsidRDefault="00257E44" w:rsidP="006D3122">
            <w:pPr>
              <w:rPr>
                <w:rFonts w:ascii="Garamond" w:hAnsi="Garamond"/>
                <w:sz w:val="22"/>
                <w:szCs w:val="22"/>
              </w:rPr>
            </w:pPr>
            <w:r w:rsidRPr="00FD7602">
              <w:rPr>
                <w:rFonts w:ascii="Garamond" w:hAnsi="Garamond"/>
                <w:sz w:val="22"/>
                <w:szCs w:val="22"/>
              </w:rPr>
              <w:t>No. Proceso de selección</w:t>
            </w:r>
          </w:p>
        </w:tc>
        <w:tc>
          <w:tcPr>
            <w:tcW w:w="6657" w:type="dxa"/>
          </w:tcPr>
          <w:p w14:paraId="1FC20F63" w14:textId="77777777" w:rsidR="00257E44" w:rsidRPr="00FD7602" w:rsidRDefault="00BD6E64" w:rsidP="006D3122">
            <w:pPr>
              <w:rPr>
                <w:rFonts w:ascii="Garamond" w:hAnsi="Garamond"/>
                <w:sz w:val="22"/>
                <w:szCs w:val="22"/>
              </w:rPr>
            </w:pPr>
            <w:r w:rsidRPr="00FD7602">
              <w:rPr>
                <w:rFonts w:ascii="Garamond" w:hAnsi="Garamond"/>
                <w:sz w:val="22"/>
                <w:szCs w:val="22"/>
              </w:rPr>
              <w:t>C-009-2025</w:t>
            </w:r>
          </w:p>
        </w:tc>
      </w:tr>
      <w:tr w:rsidR="00257E44" w:rsidRPr="00FD7602" w14:paraId="67D4FA8B" w14:textId="77777777" w:rsidTr="000B7ED1">
        <w:tc>
          <w:tcPr>
            <w:tcW w:w="2122" w:type="dxa"/>
          </w:tcPr>
          <w:p w14:paraId="7063C708" w14:textId="77777777" w:rsidR="00257E44" w:rsidRPr="00FD7602" w:rsidRDefault="00257E44" w:rsidP="006D3122">
            <w:pPr>
              <w:rPr>
                <w:rFonts w:ascii="Garamond" w:hAnsi="Garamond"/>
                <w:sz w:val="22"/>
                <w:szCs w:val="22"/>
              </w:rPr>
            </w:pPr>
            <w:proofErr w:type="gramStart"/>
            <w:r w:rsidRPr="00FD7602">
              <w:rPr>
                <w:rFonts w:ascii="Garamond" w:hAnsi="Garamond"/>
                <w:sz w:val="22"/>
                <w:szCs w:val="22"/>
              </w:rPr>
              <w:t>Link</w:t>
            </w:r>
            <w:proofErr w:type="gramEnd"/>
          </w:p>
        </w:tc>
        <w:tc>
          <w:tcPr>
            <w:tcW w:w="6657" w:type="dxa"/>
          </w:tcPr>
          <w:p w14:paraId="3ED761F0" w14:textId="77777777" w:rsidR="00257E44" w:rsidRPr="00FD7602" w:rsidRDefault="00527140" w:rsidP="000B7ED1">
            <w:pPr>
              <w:spacing w:line="360" w:lineRule="auto"/>
              <w:ind w:left="179"/>
              <w:rPr>
                <w:rFonts w:ascii="Garamond" w:hAnsi="Garamond"/>
                <w:sz w:val="22"/>
                <w:szCs w:val="22"/>
              </w:rPr>
            </w:pPr>
            <w:r w:rsidRPr="00FD7602">
              <w:rPr>
                <w:rFonts w:ascii="Garamond" w:hAnsi="Garamond"/>
                <w:sz w:val="22"/>
                <w:szCs w:val="22"/>
              </w:rPr>
              <w:t xml:space="preserve">  https://www.secop.gov.co/CO1BusinessLine/Tendering/ContractNoticeView/Index?prevCtxLbl=Buscar+procesos&amp;prevCtxUrl=https%3a%2f%2fwww.secop.gov.co%3a443%2fCO1BusinessLine%2fTendering%2fContractNoticeManagement%2fIndex&amp;notice=CO1.NTC.8213878</w:t>
            </w:r>
          </w:p>
        </w:tc>
      </w:tr>
      <w:tr w:rsidR="00257E44" w:rsidRPr="00FD7602" w14:paraId="5A8F8517" w14:textId="77777777" w:rsidTr="000B7ED1">
        <w:tc>
          <w:tcPr>
            <w:tcW w:w="2122" w:type="dxa"/>
          </w:tcPr>
          <w:p w14:paraId="709C95D6" w14:textId="77777777" w:rsidR="00257E44" w:rsidRPr="00FD7602" w:rsidRDefault="00257E44" w:rsidP="006D3122">
            <w:pPr>
              <w:rPr>
                <w:rFonts w:ascii="Garamond" w:hAnsi="Garamond"/>
                <w:sz w:val="22"/>
                <w:szCs w:val="22"/>
              </w:rPr>
            </w:pPr>
            <w:r w:rsidRPr="00FD7602">
              <w:rPr>
                <w:rFonts w:ascii="Garamond" w:hAnsi="Garamond"/>
                <w:sz w:val="22"/>
                <w:szCs w:val="22"/>
              </w:rPr>
              <w:t>Entidad Estatal:</w:t>
            </w:r>
          </w:p>
        </w:tc>
        <w:tc>
          <w:tcPr>
            <w:tcW w:w="6657" w:type="dxa"/>
          </w:tcPr>
          <w:p w14:paraId="422D2FCC" w14:textId="77777777" w:rsidR="00257E44" w:rsidRPr="00FD7602" w:rsidRDefault="00D4426B" w:rsidP="006D3122">
            <w:pPr>
              <w:rPr>
                <w:rFonts w:ascii="Garamond" w:hAnsi="Garamond"/>
                <w:sz w:val="22"/>
                <w:szCs w:val="22"/>
              </w:rPr>
            </w:pPr>
            <w:r w:rsidRPr="00FD7602">
              <w:rPr>
                <w:rFonts w:ascii="Garamond" w:hAnsi="Garamond"/>
                <w:sz w:val="22"/>
                <w:szCs w:val="22"/>
              </w:rPr>
              <w:t>ASOMUNICIPIOS</w:t>
            </w:r>
          </w:p>
        </w:tc>
      </w:tr>
      <w:tr w:rsidR="00257E44" w:rsidRPr="00FD7602" w14:paraId="4AE33EF9" w14:textId="77777777" w:rsidTr="000B7ED1">
        <w:tc>
          <w:tcPr>
            <w:tcW w:w="2122" w:type="dxa"/>
          </w:tcPr>
          <w:p w14:paraId="4EF1B758" w14:textId="77777777" w:rsidR="00257E44" w:rsidRPr="00FD7602" w:rsidRDefault="00257E44" w:rsidP="006D3122">
            <w:pPr>
              <w:rPr>
                <w:rFonts w:ascii="Garamond" w:hAnsi="Garamond"/>
                <w:sz w:val="22"/>
                <w:szCs w:val="22"/>
              </w:rPr>
            </w:pPr>
            <w:r w:rsidRPr="00FD7602">
              <w:rPr>
                <w:rFonts w:ascii="Garamond" w:hAnsi="Garamond"/>
                <w:sz w:val="22"/>
                <w:szCs w:val="22"/>
              </w:rPr>
              <w:t>Año proceso de selección</w:t>
            </w:r>
          </w:p>
        </w:tc>
        <w:tc>
          <w:tcPr>
            <w:tcW w:w="6657" w:type="dxa"/>
          </w:tcPr>
          <w:p w14:paraId="2A138BB4" w14:textId="77777777" w:rsidR="00257E44" w:rsidRPr="00FD7602" w:rsidRDefault="00132F96" w:rsidP="006D3122">
            <w:pPr>
              <w:rPr>
                <w:rFonts w:ascii="Garamond" w:hAnsi="Garamond"/>
                <w:sz w:val="22"/>
                <w:szCs w:val="22"/>
              </w:rPr>
            </w:pPr>
            <w:r w:rsidRPr="00FD7602">
              <w:rPr>
                <w:rFonts w:ascii="Garamond" w:hAnsi="Garamond"/>
                <w:sz w:val="22"/>
                <w:szCs w:val="22"/>
              </w:rPr>
              <w:t>2025</w:t>
            </w:r>
          </w:p>
        </w:tc>
      </w:tr>
      <w:tr w:rsidR="00257E44" w:rsidRPr="00FD7602" w14:paraId="1FE06AA5" w14:textId="77777777" w:rsidTr="000B7ED1">
        <w:tc>
          <w:tcPr>
            <w:tcW w:w="2122" w:type="dxa"/>
          </w:tcPr>
          <w:p w14:paraId="0AF3B459" w14:textId="77777777" w:rsidR="00257E44" w:rsidRPr="00FD7602" w:rsidRDefault="00257E44" w:rsidP="006D3122">
            <w:pPr>
              <w:rPr>
                <w:rFonts w:ascii="Garamond" w:hAnsi="Garamond"/>
                <w:sz w:val="22"/>
                <w:szCs w:val="22"/>
              </w:rPr>
            </w:pPr>
            <w:r w:rsidRPr="00FD7602">
              <w:rPr>
                <w:rFonts w:ascii="Garamond" w:hAnsi="Garamond"/>
                <w:sz w:val="22"/>
                <w:szCs w:val="22"/>
              </w:rPr>
              <w:t>Objeto</w:t>
            </w:r>
          </w:p>
        </w:tc>
        <w:tc>
          <w:tcPr>
            <w:tcW w:w="6657" w:type="dxa"/>
          </w:tcPr>
          <w:p w14:paraId="425A5E4C" w14:textId="77777777" w:rsidR="00257E44" w:rsidRPr="00FD7602" w:rsidRDefault="00DE384B" w:rsidP="006D3122">
            <w:pPr>
              <w:jc w:val="both"/>
              <w:rPr>
                <w:rFonts w:ascii="Garamond" w:hAnsi="Garamond"/>
                <w:sz w:val="22"/>
                <w:szCs w:val="22"/>
              </w:rPr>
            </w:pPr>
            <w:r w:rsidRPr="00FD7602">
              <w:rPr>
                <w:rFonts w:ascii="Garamond" w:hAnsi="Garamond"/>
                <w:sz w:val="22"/>
                <w:szCs w:val="22"/>
              </w:rPr>
              <w:t>CONSERVACION DE SABERES CULTURALES EN PRACTICAS DEPORTIVAS Y JUEGOS TRADICIONALES EN RESGUARDOS INDIGENAS Y ZONAS RURALES DE PUERTO GAITAN, META</w:t>
            </w:r>
          </w:p>
        </w:tc>
      </w:tr>
      <w:tr w:rsidR="00257E44" w:rsidRPr="00FD7602" w14:paraId="5BA81863" w14:textId="77777777" w:rsidTr="000B7ED1">
        <w:tc>
          <w:tcPr>
            <w:tcW w:w="2122" w:type="dxa"/>
          </w:tcPr>
          <w:p w14:paraId="7F67F808" w14:textId="77777777" w:rsidR="00257E44" w:rsidRPr="00FD7602" w:rsidRDefault="00257E44" w:rsidP="006D3122">
            <w:pPr>
              <w:rPr>
                <w:rFonts w:ascii="Garamond" w:hAnsi="Garamond"/>
                <w:sz w:val="22"/>
                <w:szCs w:val="22"/>
              </w:rPr>
            </w:pPr>
            <w:r w:rsidRPr="00FD7602">
              <w:rPr>
                <w:rFonts w:ascii="Garamond" w:hAnsi="Garamond"/>
                <w:sz w:val="22"/>
                <w:szCs w:val="22"/>
              </w:rPr>
              <w:t>Modalidad de selección</w:t>
            </w:r>
          </w:p>
        </w:tc>
        <w:tc>
          <w:tcPr>
            <w:tcW w:w="6657" w:type="dxa"/>
          </w:tcPr>
          <w:p w14:paraId="52A33EAB" w14:textId="77777777" w:rsidR="00257E44" w:rsidRPr="00FD7602" w:rsidRDefault="00D4426B" w:rsidP="006D3122">
            <w:pPr>
              <w:rPr>
                <w:rFonts w:ascii="Garamond" w:hAnsi="Garamond"/>
                <w:sz w:val="22"/>
                <w:szCs w:val="22"/>
              </w:rPr>
            </w:pPr>
            <w:r w:rsidRPr="00FD7602">
              <w:rPr>
                <w:rFonts w:ascii="Garamond" w:hAnsi="Garamond"/>
                <w:sz w:val="22"/>
                <w:szCs w:val="22"/>
              </w:rPr>
              <w:t xml:space="preserve">CONTRATACIÓN DIRECTA </w:t>
            </w:r>
          </w:p>
        </w:tc>
      </w:tr>
      <w:tr w:rsidR="00257E44" w:rsidRPr="00FD7602" w14:paraId="135D8D82" w14:textId="77777777" w:rsidTr="000B7ED1">
        <w:tc>
          <w:tcPr>
            <w:tcW w:w="2122" w:type="dxa"/>
          </w:tcPr>
          <w:p w14:paraId="5ABC67E1" w14:textId="77777777" w:rsidR="00257E44" w:rsidRPr="00FD7602" w:rsidRDefault="00257E44" w:rsidP="006D3122">
            <w:pPr>
              <w:rPr>
                <w:rFonts w:ascii="Garamond" w:hAnsi="Garamond"/>
                <w:sz w:val="22"/>
                <w:szCs w:val="22"/>
              </w:rPr>
            </w:pPr>
            <w:r w:rsidRPr="00FD7602">
              <w:rPr>
                <w:rFonts w:ascii="Garamond" w:hAnsi="Garamond"/>
                <w:sz w:val="22"/>
                <w:szCs w:val="22"/>
              </w:rPr>
              <w:t>Plazo de ejecución en meses</w:t>
            </w:r>
          </w:p>
        </w:tc>
        <w:tc>
          <w:tcPr>
            <w:tcW w:w="6657" w:type="dxa"/>
          </w:tcPr>
          <w:p w14:paraId="08E9FB62" w14:textId="77777777" w:rsidR="00257E44" w:rsidRPr="00FD7602" w:rsidRDefault="00D4426B" w:rsidP="006D3122">
            <w:pPr>
              <w:rPr>
                <w:rFonts w:ascii="Garamond" w:hAnsi="Garamond"/>
                <w:sz w:val="22"/>
                <w:szCs w:val="22"/>
              </w:rPr>
            </w:pPr>
            <w:r w:rsidRPr="00FD7602">
              <w:rPr>
                <w:rFonts w:ascii="Garamond" w:hAnsi="Garamond"/>
                <w:sz w:val="22"/>
                <w:szCs w:val="22"/>
              </w:rPr>
              <w:t xml:space="preserve">3 MESES </w:t>
            </w:r>
          </w:p>
        </w:tc>
      </w:tr>
      <w:tr w:rsidR="00257E44" w:rsidRPr="00FD7602" w14:paraId="5E6D999F" w14:textId="77777777" w:rsidTr="000B7ED1">
        <w:tc>
          <w:tcPr>
            <w:tcW w:w="2122" w:type="dxa"/>
          </w:tcPr>
          <w:p w14:paraId="070A82D5" w14:textId="77777777" w:rsidR="00257E44" w:rsidRPr="00FD7602" w:rsidRDefault="00257E44" w:rsidP="006D3122">
            <w:pPr>
              <w:rPr>
                <w:rFonts w:ascii="Garamond" w:hAnsi="Garamond"/>
                <w:sz w:val="22"/>
                <w:szCs w:val="22"/>
              </w:rPr>
            </w:pPr>
            <w:r w:rsidRPr="00FD7602">
              <w:rPr>
                <w:rFonts w:ascii="Garamond" w:hAnsi="Garamond"/>
                <w:sz w:val="22"/>
                <w:szCs w:val="22"/>
              </w:rPr>
              <w:t>Presupuesto oficial</w:t>
            </w:r>
          </w:p>
        </w:tc>
        <w:tc>
          <w:tcPr>
            <w:tcW w:w="6657" w:type="dxa"/>
          </w:tcPr>
          <w:p w14:paraId="3949C73F" w14:textId="77777777" w:rsidR="00257E44" w:rsidRPr="00FD7602" w:rsidRDefault="00D4426B" w:rsidP="006D3122">
            <w:pPr>
              <w:rPr>
                <w:rFonts w:ascii="Garamond" w:hAnsi="Garamond"/>
                <w:sz w:val="22"/>
                <w:szCs w:val="22"/>
              </w:rPr>
            </w:pPr>
            <w:r w:rsidRPr="00FD7602">
              <w:rPr>
                <w:rFonts w:ascii="Garamond" w:hAnsi="Garamond"/>
                <w:color w:val="000000"/>
                <w:sz w:val="22"/>
                <w:szCs w:val="22"/>
                <w:shd w:val="clear" w:color="auto" w:fill="FFFFFF"/>
              </w:rPr>
              <w:t>2.174.544.200</w:t>
            </w:r>
          </w:p>
        </w:tc>
      </w:tr>
      <w:tr w:rsidR="00257E44" w:rsidRPr="00FD7602" w14:paraId="1718C2C8" w14:textId="77777777" w:rsidTr="000B7ED1">
        <w:tc>
          <w:tcPr>
            <w:tcW w:w="2122" w:type="dxa"/>
          </w:tcPr>
          <w:p w14:paraId="2DAB4B85" w14:textId="77777777" w:rsidR="00257E44" w:rsidRPr="00FD7602" w:rsidRDefault="00257E44" w:rsidP="006D3122">
            <w:pPr>
              <w:rPr>
                <w:rFonts w:ascii="Garamond" w:hAnsi="Garamond"/>
                <w:sz w:val="22"/>
                <w:szCs w:val="22"/>
              </w:rPr>
            </w:pPr>
            <w:r w:rsidRPr="00FD7602">
              <w:rPr>
                <w:rFonts w:ascii="Garamond" w:hAnsi="Garamond"/>
                <w:sz w:val="22"/>
                <w:szCs w:val="22"/>
              </w:rPr>
              <w:t>UNSPSC principal</w:t>
            </w:r>
          </w:p>
        </w:tc>
        <w:tc>
          <w:tcPr>
            <w:tcW w:w="6657" w:type="dxa"/>
          </w:tcPr>
          <w:p w14:paraId="1F7CF03B" w14:textId="77777777" w:rsidR="00257E44" w:rsidRPr="00FD7602" w:rsidRDefault="00D4426B" w:rsidP="0064549B">
            <w:pPr>
              <w:rPr>
                <w:rFonts w:ascii="Garamond" w:hAnsi="Garamond"/>
                <w:sz w:val="22"/>
                <w:szCs w:val="22"/>
              </w:rPr>
            </w:pPr>
            <w:r w:rsidRPr="00FD7602">
              <w:rPr>
                <w:rFonts w:ascii="Garamond" w:hAnsi="Garamond"/>
                <w:sz w:val="22"/>
                <w:szCs w:val="22"/>
              </w:rPr>
              <w:t>60103600 - RECURSOS Y ACTIVIDADES MULTICULTURALES</w:t>
            </w:r>
          </w:p>
        </w:tc>
      </w:tr>
      <w:tr w:rsidR="00257E44" w:rsidRPr="00FD7602" w14:paraId="7006CF70" w14:textId="77777777" w:rsidTr="000B7ED1">
        <w:tc>
          <w:tcPr>
            <w:tcW w:w="2122" w:type="dxa"/>
          </w:tcPr>
          <w:p w14:paraId="2BF520BD" w14:textId="77777777" w:rsidR="00257E44" w:rsidRPr="00FD7602" w:rsidRDefault="00257E44" w:rsidP="006D3122">
            <w:pPr>
              <w:rPr>
                <w:rFonts w:ascii="Garamond" w:hAnsi="Garamond"/>
                <w:sz w:val="22"/>
                <w:szCs w:val="22"/>
              </w:rPr>
            </w:pPr>
            <w:r w:rsidRPr="00FD7602">
              <w:rPr>
                <w:rFonts w:ascii="Garamond" w:hAnsi="Garamond"/>
                <w:sz w:val="22"/>
                <w:szCs w:val="22"/>
              </w:rPr>
              <w:t>Indicadores de capacidad financiera y organizacional</w:t>
            </w:r>
          </w:p>
        </w:tc>
        <w:tc>
          <w:tcPr>
            <w:tcW w:w="6657" w:type="dxa"/>
          </w:tcPr>
          <w:p w14:paraId="75F5C155"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35F3B2FB" w14:textId="77777777" w:rsidTr="000B7ED1">
        <w:tc>
          <w:tcPr>
            <w:tcW w:w="2122" w:type="dxa"/>
          </w:tcPr>
          <w:p w14:paraId="5050FBBD" w14:textId="77777777" w:rsidR="00257E44" w:rsidRPr="00FD7602" w:rsidRDefault="00257E44" w:rsidP="006D3122">
            <w:pPr>
              <w:rPr>
                <w:rFonts w:ascii="Garamond" w:hAnsi="Garamond"/>
                <w:sz w:val="22"/>
                <w:szCs w:val="22"/>
              </w:rPr>
            </w:pPr>
            <w:r w:rsidRPr="00FD7602">
              <w:rPr>
                <w:rFonts w:ascii="Garamond" w:hAnsi="Garamond"/>
                <w:sz w:val="22"/>
                <w:szCs w:val="22"/>
              </w:rPr>
              <w:t>Experiencia mínima habilitante del proponente</w:t>
            </w:r>
          </w:p>
        </w:tc>
        <w:tc>
          <w:tcPr>
            <w:tcW w:w="6657" w:type="dxa"/>
          </w:tcPr>
          <w:p w14:paraId="4DD66BD5"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401CE8A4" w14:textId="77777777" w:rsidTr="000B7ED1">
        <w:tc>
          <w:tcPr>
            <w:tcW w:w="2122" w:type="dxa"/>
          </w:tcPr>
          <w:p w14:paraId="61261089" w14:textId="77777777" w:rsidR="00257E44" w:rsidRPr="00FD7602" w:rsidRDefault="00257E44" w:rsidP="006D3122">
            <w:pPr>
              <w:rPr>
                <w:rFonts w:ascii="Garamond" w:hAnsi="Garamond"/>
                <w:sz w:val="22"/>
                <w:szCs w:val="22"/>
              </w:rPr>
            </w:pPr>
            <w:r w:rsidRPr="00FD7602">
              <w:rPr>
                <w:rFonts w:ascii="Garamond" w:hAnsi="Garamond"/>
                <w:sz w:val="22"/>
                <w:szCs w:val="22"/>
              </w:rPr>
              <w:lastRenderedPageBreak/>
              <w:t>Margen Mínimo de Mejora (solo aplica para subastas)</w:t>
            </w:r>
          </w:p>
        </w:tc>
        <w:tc>
          <w:tcPr>
            <w:tcW w:w="6657" w:type="dxa"/>
          </w:tcPr>
          <w:p w14:paraId="0C55514F" w14:textId="77777777" w:rsidR="00257E44" w:rsidRPr="00FD7602" w:rsidRDefault="00257E44" w:rsidP="006D3122">
            <w:pPr>
              <w:rPr>
                <w:rFonts w:ascii="Garamond" w:hAnsi="Garamond"/>
                <w:sz w:val="22"/>
                <w:szCs w:val="22"/>
              </w:rPr>
            </w:pPr>
            <w:r w:rsidRPr="00FD7602">
              <w:rPr>
                <w:rFonts w:ascii="Garamond" w:hAnsi="Garamond"/>
                <w:sz w:val="22"/>
                <w:szCs w:val="22"/>
              </w:rPr>
              <w:t>N/A</w:t>
            </w:r>
          </w:p>
        </w:tc>
      </w:tr>
      <w:tr w:rsidR="00257E44" w:rsidRPr="00FD7602" w14:paraId="0E1B7025" w14:textId="77777777" w:rsidTr="000B7ED1">
        <w:tc>
          <w:tcPr>
            <w:tcW w:w="2122" w:type="dxa"/>
          </w:tcPr>
          <w:p w14:paraId="3015A41C" w14:textId="77777777" w:rsidR="00257E44" w:rsidRPr="00FD7602" w:rsidRDefault="00257E44" w:rsidP="006D3122">
            <w:pPr>
              <w:rPr>
                <w:rFonts w:ascii="Garamond" w:hAnsi="Garamond"/>
                <w:sz w:val="22"/>
                <w:szCs w:val="22"/>
              </w:rPr>
            </w:pPr>
            <w:r w:rsidRPr="00FD7602">
              <w:rPr>
                <w:rFonts w:ascii="Garamond" w:hAnsi="Garamond"/>
                <w:sz w:val="22"/>
                <w:szCs w:val="22"/>
              </w:rPr>
              <w:t>No. Contrato</w:t>
            </w:r>
          </w:p>
        </w:tc>
        <w:tc>
          <w:tcPr>
            <w:tcW w:w="6657" w:type="dxa"/>
          </w:tcPr>
          <w:p w14:paraId="4945996B" w14:textId="77777777" w:rsidR="00257E44" w:rsidRPr="00FD7602" w:rsidRDefault="00BC3A7C" w:rsidP="006D3122">
            <w:pPr>
              <w:rPr>
                <w:rFonts w:ascii="Garamond" w:hAnsi="Garamond"/>
                <w:sz w:val="22"/>
                <w:szCs w:val="22"/>
              </w:rPr>
            </w:pPr>
            <w:r w:rsidRPr="00FD7602">
              <w:rPr>
                <w:rFonts w:ascii="Garamond" w:hAnsi="Garamond"/>
                <w:sz w:val="22"/>
                <w:szCs w:val="22"/>
              </w:rPr>
              <w:t xml:space="preserve">ORDEN DE ASISTENCIA # 2425 </w:t>
            </w:r>
          </w:p>
        </w:tc>
      </w:tr>
    </w:tbl>
    <w:p w14:paraId="4DA9FFDA" w14:textId="77777777" w:rsidR="00257E44" w:rsidRPr="00FD7602" w:rsidRDefault="00257E44" w:rsidP="00257E44">
      <w:pPr>
        <w:pStyle w:val="Prrafodelista"/>
        <w:tabs>
          <w:tab w:val="left" w:pos="567"/>
          <w:tab w:val="left" w:pos="8647"/>
        </w:tabs>
        <w:spacing w:line="276" w:lineRule="auto"/>
        <w:ind w:left="0" w:right="51"/>
        <w:jc w:val="both"/>
        <w:rPr>
          <w:rFonts w:ascii="Garamond" w:hAnsi="Garamond"/>
          <w:sz w:val="22"/>
          <w:szCs w:val="22"/>
        </w:rPr>
      </w:pPr>
    </w:p>
    <w:p w14:paraId="0DC921D2" w14:textId="77777777" w:rsidR="00257E44" w:rsidRPr="00FD7602" w:rsidRDefault="00257E44" w:rsidP="00257E44">
      <w:pPr>
        <w:pStyle w:val="Prrafodelista"/>
        <w:tabs>
          <w:tab w:val="left" w:pos="567"/>
          <w:tab w:val="left" w:pos="8647"/>
        </w:tabs>
        <w:spacing w:line="276" w:lineRule="auto"/>
        <w:ind w:left="0" w:right="51"/>
        <w:jc w:val="both"/>
        <w:rPr>
          <w:rFonts w:ascii="Garamond" w:hAnsi="Garamond"/>
          <w:sz w:val="22"/>
          <w:szCs w:val="22"/>
        </w:rPr>
      </w:pPr>
    </w:p>
    <w:tbl>
      <w:tblPr>
        <w:tblStyle w:val="Tablaconcuadrcula"/>
        <w:tblW w:w="0" w:type="auto"/>
        <w:tblLayout w:type="fixed"/>
        <w:tblLook w:val="04A0" w:firstRow="1" w:lastRow="0" w:firstColumn="1" w:lastColumn="0" w:noHBand="0" w:noVBand="1"/>
      </w:tblPr>
      <w:tblGrid>
        <w:gridCol w:w="2122"/>
        <w:gridCol w:w="6657"/>
      </w:tblGrid>
      <w:tr w:rsidR="00257E44" w:rsidRPr="00FD7602" w14:paraId="1C0F0B19" w14:textId="77777777" w:rsidTr="006D3122">
        <w:tc>
          <w:tcPr>
            <w:tcW w:w="2122" w:type="dxa"/>
          </w:tcPr>
          <w:p w14:paraId="78231DAC" w14:textId="77777777" w:rsidR="00257E44" w:rsidRPr="00FD7602" w:rsidRDefault="00257E44" w:rsidP="006D3122">
            <w:pPr>
              <w:rPr>
                <w:rFonts w:ascii="Garamond" w:hAnsi="Garamond"/>
                <w:sz w:val="22"/>
                <w:szCs w:val="22"/>
              </w:rPr>
            </w:pPr>
            <w:r w:rsidRPr="00FD7602">
              <w:rPr>
                <w:rFonts w:ascii="Garamond" w:hAnsi="Garamond"/>
                <w:sz w:val="22"/>
                <w:szCs w:val="22"/>
              </w:rPr>
              <w:t>No. Proceso de selección</w:t>
            </w:r>
          </w:p>
        </w:tc>
        <w:tc>
          <w:tcPr>
            <w:tcW w:w="6657" w:type="dxa"/>
          </w:tcPr>
          <w:p w14:paraId="76364C03" w14:textId="77777777" w:rsidR="00257E44" w:rsidRPr="00FD7602" w:rsidRDefault="000B7ED1" w:rsidP="006D3122">
            <w:pPr>
              <w:rPr>
                <w:rFonts w:ascii="Garamond" w:hAnsi="Garamond"/>
                <w:sz w:val="22"/>
                <w:szCs w:val="22"/>
              </w:rPr>
            </w:pPr>
            <w:r w:rsidRPr="00FD7602">
              <w:rPr>
                <w:rFonts w:ascii="Garamond" w:hAnsi="Garamond"/>
                <w:sz w:val="22"/>
                <w:szCs w:val="22"/>
              </w:rPr>
              <w:t>FLO-DS-CONV-026-2023</w:t>
            </w:r>
          </w:p>
        </w:tc>
      </w:tr>
      <w:tr w:rsidR="00257E44" w:rsidRPr="00FD7602" w14:paraId="3EC42B78" w14:textId="77777777" w:rsidTr="006D3122">
        <w:tc>
          <w:tcPr>
            <w:tcW w:w="2122" w:type="dxa"/>
          </w:tcPr>
          <w:p w14:paraId="0829893D" w14:textId="77777777" w:rsidR="00257E44" w:rsidRPr="00FD7602" w:rsidRDefault="00257E44" w:rsidP="006D3122">
            <w:pPr>
              <w:rPr>
                <w:rFonts w:ascii="Garamond" w:hAnsi="Garamond"/>
                <w:sz w:val="22"/>
                <w:szCs w:val="22"/>
              </w:rPr>
            </w:pPr>
            <w:proofErr w:type="gramStart"/>
            <w:r w:rsidRPr="00FD7602">
              <w:rPr>
                <w:rFonts w:ascii="Garamond" w:hAnsi="Garamond"/>
                <w:sz w:val="22"/>
                <w:szCs w:val="22"/>
              </w:rPr>
              <w:t>Link</w:t>
            </w:r>
            <w:proofErr w:type="gramEnd"/>
            <w:r w:rsidRPr="00FD7602">
              <w:rPr>
                <w:rFonts w:ascii="Garamond" w:hAnsi="Garamond"/>
                <w:sz w:val="22"/>
                <w:szCs w:val="22"/>
              </w:rPr>
              <w:t xml:space="preserve">: </w:t>
            </w:r>
          </w:p>
        </w:tc>
        <w:tc>
          <w:tcPr>
            <w:tcW w:w="6657" w:type="dxa"/>
          </w:tcPr>
          <w:p w14:paraId="3C82A3C1" w14:textId="77777777" w:rsidR="00257E44" w:rsidRPr="00FD7602" w:rsidRDefault="00000000" w:rsidP="006D3122">
            <w:pPr>
              <w:rPr>
                <w:rFonts w:ascii="Garamond" w:hAnsi="Garamond"/>
                <w:sz w:val="22"/>
                <w:szCs w:val="22"/>
              </w:rPr>
            </w:pPr>
            <w:hyperlink r:id="rId27" w:history="1">
              <w:r w:rsidR="006E069F" w:rsidRPr="00FD7602">
                <w:rPr>
                  <w:rStyle w:val="Hipervnculo"/>
                  <w:rFonts w:ascii="Garamond" w:hAnsi="Garamond"/>
                  <w:sz w:val="22"/>
                  <w:szCs w:val="22"/>
                </w:rPr>
                <w:t>https://www.secop.gov.co/CO1BusinessLine/Tendering/ContractNoticeView/Index?prevCtxLbl=Buscar+procesos&amp;prevCtxUrl=https%3a%2f%2fwww.secop.gov.co%3a443%2fCO1BusinessLine%2fTendering%2fContractNoticeManagement%2fIndex&amp;notice=CO1.NTC.4652443</w:t>
              </w:r>
            </w:hyperlink>
          </w:p>
          <w:p w14:paraId="7AD0FE99" w14:textId="77777777" w:rsidR="006E069F" w:rsidRPr="00FD7602" w:rsidRDefault="006E069F" w:rsidP="006D3122">
            <w:pPr>
              <w:rPr>
                <w:rFonts w:ascii="Garamond" w:hAnsi="Garamond"/>
                <w:sz w:val="22"/>
                <w:szCs w:val="22"/>
              </w:rPr>
            </w:pPr>
          </w:p>
        </w:tc>
      </w:tr>
      <w:tr w:rsidR="00257E44" w:rsidRPr="00FD7602" w14:paraId="050B8006" w14:textId="77777777" w:rsidTr="006D3122">
        <w:tc>
          <w:tcPr>
            <w:tcW w:w="2122" w:type="dxa"/>
          </w:tcPr>
          <w:p w14:paraId="06C4660D" w14:textId="77777777" w:rsidR="00257E44" w:rsidRPr="00FD7602" w:rsidRDefault="00257E44" w:rsidP="006D3122">
            <w:pPr>
              <w:rPr>
                <w:rFonts w:ascii="Garamond" w:hAnsi="Garamond"/>
                <w:sz w:val="22"/>
                <w:szCs w:val="22"/>
              </w:rPr>
            </w:pPr>
            <w:r w:rsidRPr="00FD7602">
              <w:rPr>
                <w:rFonts w:ascii="Garamond" w:hAnsi="Garamond"/>
                <w:sz w:val="22"/>
                <w:szCs w:val="22"/>
              </w:rPr>
              <w:t>Entidad Estatal:</w:t>
            </w:r>
          </w:p>
        </w:tc>
        <w:tc>
          <w:tcPr>
            <w:tcW w:w="6657" w:type="dxa"/>
          </w:tcPr>
          <w:p w14:paraId="378BB0D4" w14:textId="77777777" w:rsidR="00257E44" w:rsidRPr="00FD7602" w:rsidRDefault="00877D9E" w:rsidP="006D3122">
            <w:pPr>
              <w:rPr>
                <w:rFonts w:ascii="Garamond" w:hAnsi="Garamond"/>
                <w:sz w:val="22"/>
                <w:szCs w:val="22"/>
              </w:rPr>
            </w:pPr>
            <w:r w:rsidRPr="00FD7602">
              <w:rPr>
                <w:rFonts w:ascii="Garamond" w:hAnsi="Garamond"/>
                <w:sz w:val="22"/>
                <w:szCs w:val="22"/>
              </w:rPr>
              <w:t>ALCALDÍA DE FLORIDABLANCA</w:t>
            </w:r>
          </w:p>
        </w:tc>
      </w:tr>
      <w:tr w:rsidR="00257E44" w:rsidRPr="00FD7602" w14:paraId="6C7D15BA" w14:textId="77777777" w:rsidTr="006D3122">
        <w:tc>
          <w:tcPr>
            <w:tcW w:w="2122" w:type="dxa"/>
          </w:tcPr>
          <w:p w14:paraId="253B12D7" w14:textId="77777777" w:rsidR="00257E44" w:rsidRPr="00FD7602" w:rsidRDefault="00257E44" w:rsidP="006D3122">
            <w:pPr>
              <w:rPr>
                <w:rFonts w:ascii="Garamond" w:hAnsi="Garamond"/>
                <w:sz w:val="22"/>
                <w:szCs w:val="22"/>
              </w:rPr>
            </w:pPr>
            <w:r w:rsidRPr="00FD7602">
              <w:rPr>
                <w:rFonts w:ascii="Garamond" w:hAnsi="Garamond"/>
                <w:sz w:val="22"/>
                <w:szCs w:val="22"/>
              </w:rPr>
              <w:t>Año proceso de selección</w:t>
            </w:r>
          </w:p>
        </w:tc>
        <w:tc>
          <w:tcPr>
            <w:tcW w:w="6657" w:type="dxa"/>
          </w:tcPr>
          <w:p w14:paraId="664E7F78" w14:textId="77777777" w:rsidR="00257E44" w:rsidRPr="00FD7602" w:rsidRDefault="00877D9E" w:rsidP="006D3122">
            <w:pPr>
              <w:rPr>
                <w:rFonts w:ascii="Garamond" w:hAnsi="Garamond"/>
                <w:sz w:val="22"/>
                <w:szCs w:val="22"/>
              </w:rPr>
            </w:pPr>
            <w:r w:rsidRPr="00FD7602">
              <w:rPr>
                <w:rFonts w:ascii="Garamond" w:hAnsi="Garamond"/>
                <w:sz w:val="22"/>
                <w:szCs w:val="22"/>
              </w:rPr>
              <w:t>2023</w:t>
            </w:r>
          </w:p>
        </w:tc>
      </w:tr>
      <w:tr w:rsidR="00257E44" w:rsidRPr="00FD7602" w14:paraId="17C32CEC" w14:textId="77777777" w:rsidTr="006D3122">
        <w:tc>
          <w:tcPr>
            <w:tcW w:w="2122" w:type="dxa"/>
          </w:tcPr>
          <w:p w14:paraId="15B7796F" w14:textId="77777777" w:rsidR="00257E44" w:rsidRPr="00FD7602" w:rsidRDefault="00257E44" w:rsidP="006D3122">
            <w:pPr>
              <w:rPr>
                <w:rFonts w:ascii="Garamond" w:hAnsi="Garamond"/>
                <w:sz w:val="22"/>
                <w:szCs w:val="22"/>
              </w:rPr>
            </w:pPr>
            <w:r w:rsidRPr="00FD7602">
              <w:rPr>
                <w:rFonts w:ascii="Garamond" w:hAnsi="Garamond"/>
                <w:sz w:val="22"/>
                <w:szCs w:val="22"/>
              </w:rPr>
              <w:t>Objeto</w:t>
            </w:r>
          </w:p>
        </w:tc>
        <w:tc>
          <w:tcPr>
            <w:tcW w:w="6657" w:type="dxa"/>
          </w:tcPr>
          <w:p w14:paraId="3ABA4A5A" w14:textId="77777777" w:rsidR="00257E44" w:rsidRPr="00FD7602" w:rsidRDefault="00D1769B" w:rsidP="00D1769B">
            <w:pPr>
              <w:jc w:val="both"/>
              <w:rPr>
                <w:rFonts w:ascii="Garamond" w:hAnsi="Garamond"/>
                <w:sz w:val="22"/>
                <w:szCs w:val="22"/>
              </w:rPr>
            </w:pPr>
            <w:r w:rsidRPr="00FD7602">
              <w:rPr>
                <w:rFonts w:ascii="Garamond" w:hAnsi="Garamond"/>
                <w:sz w:val="22"/>
                <w:szCs w:val="22"/>
              </w:rPr>
              <w:t>AUNAR ESFUERZOS PARA LA FORMULACION DE LAS POLÍTICAS PUBLICAS DE LIBERTAD RELIGIOSA, DESARROLLO COMUNITARIO (JUNTAS DE ACCION COMUNAL), PARTICIPACIÓN CIUDADANA Y PRESUPUESTOS PARTICIPATIVOS, ATENCIÓN A POBLACIÓN AFRODESCENDIENTE, INDIGENAS, LGTBIQ+ Y HABITANTE DE CALLE DEL MUNICIPIO DE FLORIDABLANCA - SANTANDER.</w:t>
            </w:r>
          </w:p>
        </w:tc>
      </w:tr>
      <w:tr w:rsidR="00257E44" w:rsidRPr="00FD7602" w14:paraId="56DECED9" w14:textId="77777777" w:rsidTr="006D3122">
        <w:tc>
          <w:tcPr>
            <w:tcW w:w="2122" w:type="dxa"/>
          </w:tcPr>
          <w:p w14:paraId="359F257D" w14:textId="77777777" w:rsidR="00257E44" w:rsidRPr="00FD7602" w:rsidRDefault="00257E44" w:rsidP="006D3122">
            <w:pPr>
              <w:rPr>
                <w:rFonts w:ascii="Garamond" w:hAnsi="Garamond"/>
                <w:sz w:val="22"/>
                <w:szCs w:val="22"/>
              </w:rPr>
            </w:pPr>
            <w:r w:rsidRPr="00FD7602">
              <w:rPr>
                <w:rFonts w:ascii="Garamond" w:hAnsi="Garamond"/>
                <w:sz w:val="22"/>
                <w:szCs w:val="22"/>
              </w:rPr>
              <w:t>Modalidad de selección</w:t>
            </w:r>
          </w:p>
        </w:tc>
        <w:tc>
          <w:tcPr>
            <w:tcW w:w="6657" w:type="dxa"/>
          </w:tcPr>
          <w:p w14:paraId="356DF863" w14:textId="77777777" w:rsidR="00257E44" w:rsidRPr="00FD7602" w:rsidRDefault="00D1769B" w:rsidP="006D3122">
            <w:pPr>
              <w:rPr>
                <w:rFonts w:ascii="Garamond" w:hAnsi="Garamond"/>
                <w:sz w:val="22"/>
                <w:szCs w:val="22"/>
              </w:rPr>
            </w:pPr>
            <w:r w:rsidRPr="00FD7602">
              <w:rPr>
                <w:rFonts w:ascii="Garamond" w:hAnsi="Garamond"/>
                <w:sz w:val="22"/>
                <w:szCs w:val="22"/>
              </w:rPr>
              <w:t xml:space="preserve">CONTRATACIÓN DIRECTA </w:t>
            </w:r>
          </w:p>
        </w:tc>
      </w:tr>
      <w:tr w:rsidR="00257E44" w:rsidRPr="00FD7602" w14:paraId="216F85B0" w14:textId="77777777" w:rsidTr="006D3122">
        <w:tc>
          <w:tcPr>
            <w:tcW w:w="2122" w:type="dxa"/>
          </w:tcPr>
          <w:p w14:paraId="3CB22F5A" w14:textId="77777777" w:rsidR="00257E44" w:rsidRPr="00FD7602" w:rsidRDefault="00257E44" w:rsidP="006D3122">
            <w:pPr>
              <w:rPr>
                <w:rFonts w:ascii="Garamond" w:hAnsi="Garamond"/>
                <w:sz w:val="22"/>
                <w:szCs w:val="22"/>
              </w:rPr>
            </w:pPr>
            <w:r w:rsidRPr="00FD7602">
              <w:rPr>
                <w:rFonts w:ascii="Garamond" w:hAnsi="Garamond"/>
                <w:sz w:val="22"/>
                <w:szCs w:val="22"/>
              </w:rPr>
              <w:t>Plazo de ejecución en meses</w:t>
            </w:r>
          </w:p>
        </w:tc>
        <w:tc>
          <w:tcPr>
            <w:tcW w:w="6657" w:type="dxa"/>
          </w:tcPr>
          <w:p w14:paraId="1ACF6557" w14:textId="77777777" w:rsidR="00257E44" w:rsidRPr="00FD7602" w:rsidRDefault="00F248FD" w:rsidP="006D3122">
            <w:pPr>
              <w:rPr>
                <w:rFonts w:ascii="Garamond" w:hAnsi="Garamond"/>
                <w:sz w:val="22"/>
                <w:szCs w:val="22"/>
              </w:rPr>
            </w:pPr>
            <w:r w:rsidRPr="00FD7602">
              <w:rPr>
                <w:rFonts w:ascii="Garamond" w:hAnsi="Garamond"/>
                <w:sz w:val="22"/>
                <w:szCs w:val="22"/>
              </w:rPr>
              <w:t xml:space="preserve">5 MESES </w:t>
            </w:r>
          </w:p>
        </w:tc>
      </w:tr>
      <w:tr w:rsidR="00257E44" w:rsidRPr="00FD7602" w14:paraId="519079E2" w14:textId="77777777" w:rsidTr="006D3122">
        <w:tc>
          <w:tcPr>
            <w:tcW w:w="2122" w:type="dxa"/>
          </w:tcPr>
          <w:p w14:paraId="4E686490" w14:textId="77777777" w:rsidR="00257E44" w:rsidRPr="00FD7602" w:rsidRDefault="00257E44" w:rsidP="006D3122">
            <w:pPr>
              <w:rPr>
                <w:rFonts w:ascii="Garamond" w:hAnsi="Garamond"/>
                <w:sz w:val="22"/>
                <w:szCs w:val="22"/>
              </w:rPr>
            </w:pPr>
            <w:r w:rsidRPr="00FD7602">
              <w:rPr>
                <w:rFonts w:ascii="Garamond" w:hAnsi="Garamond"/>
                <w:sz w:val="22"/>
                <w:szCs w:val="22"/>
              </w:rPr>
              <w:t>Presupuesto oficial</w:t>
            </w:r>
          </w:p>
        </w:tc>
        <w:tc>
          <w:tcPr>
            <w:tcW w:w="6657" w:type="dxa"/>
          </w:tcPr>
          <w:p w14:paraId="15E6C7ED" w14:textId="77777777" w:rsidR="00257E44" w:rsidRPr="00FD7602" w:rsidRDefault="00F248FD" w:rsidP="006D3122">
            <w:pPr>
              <w:rPr>
                <w:rFonts w:ascii="Garamond" w:hAnsi="Garamond"/>
                <w:sz w:val="22"/>
                <w:szCs w:val="22"/>
              </w:rPr>
            </w:pPr>
            <w:r w:rsidRPr="00FD7602">
              <w:rPr>
                <w:rFonts w:ascii="Garamond" w:hAnsi="Garamond"/>
                <w:sz w:val="22"/>
                <w:szCs w:val="22"/>
              </w:rPr>
              <w:t>450.000.000</w:t>
            </w:r>
          </w:p>
        </w:tc>
      </w:tr>
      <w:tr w:rsidR="00257E44" w:rsidRPr="00FD7602" w14:paraId="449C79F3" w14:textId="77777777" w:rsidTr="006D3122">
        <w:tc>
          <w:tcPr>
            <w:tcW w:w="2122" w:type="dxa"/>
          </w:tcPr>
          <w:p w14:paraId="2EA0A214" w14:textId="77777777" w:rsidR="00257E44" w:rsidRPr="00FD7602" w:rsidRDefault="00257E44" w:rsidP="006D3122">
            <w:pPr>
              <w:rPr>
                <w:rFonts w:ascii="Garamond" w:hAnsi="Garamond"/>
                <w:sz w:val="22"/>
                <w:szCs w:val="22"/>
              </w:rPr>
            </w:pPr>
            <w:r w:rsidRPr="00FD7602">
              <w:rPr>
                <w:rFonts w:ascii="Garamond" w:hAnsi="Garamond"/>
                <w:sz w:val="22"/>
                <w:szCs w:val="22"/>
              </w:rPr>
              <w:t>UNSPSC principal</w:t>
            </w:r>
          </w:p>
        </w:tc>
        <w:tc>
          <w:tcPr>
            <w:tcW w:w="6657" w:type="dxa"/>
          </w:tcPr>
          <w:p w14:paraId="63769DF9" w14:textId="77777777" w:rsidR="002E74B7" w:rsidRPr="00FD7602" w:rsidRDefault="002E74B7" w:rsidP="002E74B7">
            <w:pPr>
              <w:rPr>
                <w:rFonts w:ascii="Garamond" w:hAnsi="Garamond"/>
                <w:sz w:val="22"/>
                <w:szCs w:val="22"/>
              </w:rPr>
            </w:pPr>
            <w:r w:rsidRPr="00FD7602">
              <w:rPr>
                <w:rFonts w:ascii="Garamond" w:hAnsi="Garamond"/>
                <w:sz w:val="22"/>
                <w:szCs w:val="22"/>
              </w:rPr>
              <w:t>80111600 - Servicios de personal temporal</w:t>
            </w:r>
          </w:p>
          <w:p w14:paraId="589748F3" w14:textId="77777777" w:rsidR="002E74B7" w:rsidRPr="00FD7602" w:rsidRDefault="002E74B7" w:rsidP="002E74B7">
            <w:pPr>
              <w:rPr>
                <w:rFonts w:ascii="Garamond" w:hAnsi="Garamond"/>
                <w:sz w:val="22"/>
                <w:szCs w:val="22"/>
              </w:rPr>
            </w:pPr>
            <w:r w:rsidRPr="00FD7602">
              <w:rPr>
                <w:rFonts w:ascii="Garamond" w:hAnsi="Garamond"/>
                <w:sz w:val="22"/>
                <w:szCs w:val="22"/>
              </w:rPr>
              <w:t xml:space="preserve"> 80161504 - Servicios de oficina</w:t>
            </w:r>
          </w:p>
          <w:p w14:paraId="3ED676E8" w14:textId="77777777" w:rsidR="00257E44" w:rsidRPr="00FD7602" w:rsidRDefault="002E74B7" w:rsidP="002E74B7">
            <w:pPr>
              <w:rPr>
                <w:rFonts w:ascii="Garamond" w:hAnsi="Garamond"/>
                <w:sz w:val="22"/>
                <w:szCs w:val="22"/>
              </w:rPr>
            </w:pPr>
            <w:r w:rsidRPr="00FD7602">
              <w:rPr>
                <w:rFonts w:ascii="Garamond" w:hAnsi="Garamond"/>
                <w:sz w:val="22"/>
                <w:szCs w:val="22"/>
              </w:rPr>
              <w:t>80111601 - Asistencia de oficina o administrativa temporal</w:t>
            </w:r>
          </w:p>
        </w:tc>
      </w:tr>
      <w:tr w:rsidR="00257E44" w:rsidRPr="00FD7602" w14:paraId="501BCA53" w14:textId="77777777" w:rsidTr="006D3122">
        <w:tc>
          <w:tcPr>
            <w:tcW w:w="2122" w:type="dxa"/>
          </w:tcPr>
          <w:p w14:paraId="41FF26AF" w14:textId="77777777" w:rsidR="00257E44" w:rsidRPr="00FD7602" w:rsidRDefault="00257E44" w:rsidP="006D3122">
            <w:pPr>
              <w:rPr>
                <w:rFonts w:ascii="Garamond" w:hAnsi="Garamond"/>
                <w:sz w:val="22"/>
                <w:szCs w:val="22"/>
              </w:rPr>
            </w:pPr>
            <w:r w:rsidRPr="00FD7602">
              <w:rPr>
                <w:rFonts w:ascii="Garamond" w:hAnsi="Garamond"/>
                <w:sz w:val="22"/>
                <w:szCs w:val="22"/>
              </w:rPr>
              <w:t>Indicadores de capacidad financiera y organizacional</w:t>
            </w:r>
          </w:p>
        </w:tc>
        <w:tc>
          <w:tcPr>
            <w:tcW w:w="6657" w:type="dxa"/>
          </w:tcPr>
          <w:p w14:paraId="747BE562" w14:textId="77777777" w:rsidR="00257E44" w:rsidRPr="00FD7602" w:rsidRDefault="002E74B7" w:rsidP="006D3122">
            <w:pPr>
              <w:rPr>
                <w:rFonts w:ascii="Garamond" w:hAnsi="Garamond"/>
                <w:sz w:val="22"/>
                <w:szCs w:val="22"/>
              </w:rPr>
            </w:pPr>
            <w:r w:rsidRPr="00FD7602">
              <w:rPr>
                <w:rFonts w:ascii="Garamond" w:hAnsi="Garamond"/>
                <w:sz w:val="22"/>
                <w:szCs w:val="22"/>
              </w:rPr>
              <w:t>N/A</w:t>
            </w:r>
          </w:p>
        </w:tc>
      </w:tr>
      <w:tr w:rsidR="00257E44" w:rsidRPr="00FD7602" w14:paraId="30FBFCB0" w14:textId="77777777" w:rsidTr="006D3122">
        <w:tc>
          <w:tcPr>
            <w:tcW w:w="2122" w:type="dxa"/>
          </w:tcPr>
          <w:p w14:paraId="552DB761" w14:textId="77777777" w:rsidR="00257E44" w:rsidRPr="00FD7602" w:rsidRDefault="00257E44" w:rsidP="006D3122">
            <w:pPr>
              <w:rPr>
                <w:rFonts w:ascii="Garamond" w:hAnsi="Garamond"/>
                <w:sz w:val="22"/>
                <w:szCs w:val="22"/>
              </w:rPr>
            </w:pPr>
            <w:r w:rsidRPr="00FD7602">
              <w:rPr>
                <w:rFonts w:ascii="Garamond" w:hAnsi="Garamond"/>
                <w:sz w:val="22"/>
                <w:szCs w:val="22"/>
              </w:rPr>
              <w:t>Experiencia mínima habilitante del proponente</w:t>
            </w:r>
          </w:p>
        </w:tc>
        <w:tc>
          <w:tcPr>
            <w:tcW w:w="6657" w:type="dxa"/>
          </w:tcPr>
          <w:p w14:paraId="55E0ED49" w14:textId="77777777" w:rsidR="00257E44" w:rsidRPr="00FD7602" w:rsidRDefault="002E74B7" w:rsidP="006D3122">
            <w:pPr>
              <w:rPr>
                <w:rFonts w:ascii="Garamond" w:hAnsi="Garamond"/>
                <w:sz w:val="22"/>
                <w:szCs w:val="22"/>
              </w:rPr>
            </w:pPr>
            <w:r w:rsidRPr="00FD7602">
              <w:rPr>
                <w:rFonts w:ascii="Garamond" w:hAnsi="Garamond"/>
                <w:sz w:val="22"/>
                <w:szCs w:val="22"/>
              </w:rPr>
              <w:t>N/A</w:t>
            </w:r>
          </w:p>
        </w:tc>
      </w:tr>
      <w:tr w:rsidR="00257E44" w:rsidRPr="00FD7602" w14:paraId="244E70EF" w14:textId="77777777" w:rsidTr="006D3122">
        <w:tc>
          <w:tcPr>
            <w:tcW w:w="2122" w:type="dxa"/>
          </w:tcPr>
          <w:p w14:paraId="4E19A662" w14:textId="77777777" w:rsidR="00257E44" w:rsidRPr="00FD7602" w:rsidRDefault="00257E44" w:rsidP="006D3122">
            <w:pPr>
              <w:rPr>
                <w:rFonts w:ascii="Garamond" w:hAnsi="Garamond"/>
                <w:sz w:val="22"/>
                <w:szCs w:val="22"/>
              </w:rPr>
            </w:pPr>
            <w:r w:rsidRPr="00FD7602">
              <w:rPr>
                <w:rFonts w:ascii="Garamond" w:hAnsi="Garamond"/>
                <w:sz w:val="22"/>
                <w:szCs w:val="22"/>
              </w:rPr>
              <w:t>Margen Mínimo de Mejora (solo aplica para subastas)</w:t>
            </w:r>
          </w:p>
        </w:tc>
        <w:tc>
          <w:tcPr>
            <w:tcW w:w="6657" w:type="dxa"/>
          </w:tcPr>
          <w:p w14:paraId="4910CB27" w14:textId="77777777" w:rsidR="00257E44" w:rsidRPr="00FD7602" w:rsidRDefault="002E74B7" w:rsidP="006D3122">
            <w:pPr>
              <w:rPr>
                <w:rFonts w:ascii="Garamond" w:hAnsi="Garamond"/>
                <w:sz w:val="22"/>
                <w:szCs w:val="22"/>
              </w:rPr>
            </w:pPr>
            <w:r w:rsidRPr="00FD7602">
              <w:rPr>
                <w:rFonts w:ascii="Garamond" w:hAnsi="Garamond"/>
                <w:sz w:val="22"/>
                <w:szCs w:val="22"/>
              </w:rPr>
              <w:t>N/A</w:t>
            </w:r>
          </w:p>
        </w:tc>
      </w:tr>
      <w:tr w:rsidR="00257E44" w:rsidRPr="00FD7602" w14:paraId="0D58B071" w14:textId="77777777" w:rsidTr="006D3122">
        <w:tc>
          <w:tcPr>
            <w:tcW w:w="2122" w:type="dxa"/>
          </w:tcPr>
          <w:p w14:paraId="704F4B86" w14:textId="77777777" w:rsidR="00257E44" w:rsidRPr="00FD7602" w:rsidRDefault="00257E44" w:rsidP="006D3122">
            <w:pPr>
              <w:rPr>
                <w:rFonts w:ascii="Garamond" w:hAnsi="Garamond"/>
                <w:sz w:val="22"/>
                <w:szCs w:val="22"/>
              </w:rPr>
            </w:pPr>
            <w:r w:rsidRPr="00FD7602">
              <w:rPr>
                <w:rFonts w:ascii="Garamond" w:hAnsi="Garamond"/>
                <w:sz w:val="22"/>
                <w:szCs w:val="22"/>
              </w:rPr>
              <w:t>No. Contrato</w:t>
            </w:r>
          </w:p>
        </w:tc>
        <w:tc>
          <w:tcPr>
            <w:tcW w:w="6657" w:type="dxa"/>
          </w:tcPr>
          <w:p w14:paraId="2D11578E" w14:textId="77777777" w:rsidR="00257E44" w:rsidRPr="00FD7602" w:rsidRDefault="006E069F" w:rsidP="006D3122">
            <w:pPr>
              <w:rPr>
                <w:rFonts w:ascii="Garamond" w:hAnsi="Garamond"/>
                <w:sz w:val="22"/>
                <w:szCs w:val="22"/>
              </w:rPr>
            </w:pPr>
            <w:r w:rsidRPr="00FD7602">
              <w:rPr>
                <w:rFonts w:ascii="Garamond" w:hAnsi="Garamond"/>
                <w:sz w:val="22"/>
                <w:szCs w:val="22"/>
              </w:rPr>
              <w:t>CO1.PCCNTR.5155602</w:t>
            </w:r>
          </w:p>
        </w:tc>
      </w:tr>
    </w:tbl>
    <w:p w14:paraId="1E7587F7" w14:textId="77777777" w:rsidR="00257E44" w:rsidRPr="00FD7602" w:rsidRDefault="00257E44" w:rsidP="00257E44">
      <w:pPr>
        <w:rPr>
          <w:rFonts w:ascii="Garamond" w:eastAsia="Calibri" w:hAnsi="Garamond"/>
          <w:b/>
          <w:sz w:val="22"/>
          <w:szCs w:val="22"/>
        </w:rPr>
      </w:pPr>
    </w:p>
    <w:p w14:paraId="1DEDC8F4" w14:textId="77777777" w:rsidR="00257E44" w:rsidRPr="00FD7602" w:rsidRDefault="00257E44" w:rsidP="00257E44">
      <w:pPr>
        <w:rPr>
          <w:rFonts w:ascii="Garamond" w:eastAsia="Calibri" w:hAnsi="Garamond"/>
          <w:b/>
          <w:sz w:val="22"/>
          <w:szCs w:val="22"/>
        </w:rPr>
      </w:pPr>
    </w:p>
    <w:p w14:paraId="4642F149" w14:textId="77777777" w:rsidR="00257E44" w:rsidRPr="00FD7602" w:rsidRDefault="00257E44" w:rsidP="00257E44">
      <w:pPr>
        <w:rPr>
          <w:rFonts w:ascii="Garamond" w:eastAsia="Calibri" w:hAnsi="Garamond"/>
          <w:b/>
          <w:sz w:val="22"/>
          <w:szCs w:val="22"/>
          <w:lang w:val="es-ES"/>
        </w:rPr>
      </w:pPr>
      <w:r w:rsidRPr="00FD7602">
        <w:rPr>
          <w:rFonts w:ascii="Garamond" w:eastAsia="Calibri" w:hAnsi="Garamond"/>
          <w:b/>
          <w:sz w:val="22"/>
          <w:szCs w:val="22"/>
          <w:lang w:val="es-ES"/>
        </w:rPr>
        <w:t xml:space="preserve">Adquisiciones anteriores del servicio por parte del FDLCB </w:t>
      </w:r>
    </w:p>
    <w:p w14:paraId="112F63A6" w14:textId="77777777" w:rsidR="00257E44" w:rsidRPr="00FD7602" w:rsidRDefault="00257E44" w:rsidP="00257E44">
      <w:pPr>
        <w:rPr>
          <w:rFonts w:ascii="Garamond" w:eastAsia="Calibri" w:hAnsi="Garamond"/>
          <w:b/>
          <w:sz w:val="22"/>
          <w:szCs w:val="22"/>
          <w:lang w:val="es-ES"/>
        </w:rPr>
      </w:pPr>
    </w:p>
    <w:p w14:paraId="620EA0E2" w14:textId="77777777" w:rsidR="00257E44" w:rsidRPr="00FD7602" w:rsidRDefault="00257E44" w:rsidP="00257E44">
      <w:pPr>
        <w:jc w:val="both"/>
        <w:rPr>
          <w:rFonts w:ascii="Garamond" w:hAnsi="Garamond"/>
          <w:bCs/>
          <w:sz w:val="22"/>
          <w:szCs w:val="22"/>
        </w:rPr>
      </w:pPr>
      <w:r w:rsidRPr="00FD7602">
        <w:rPr>
          <w:rFonts w:ascii="Garamond" w:hAnsi="Garamond"/>
          <w:sz w:val="22"/>
          <w:szCs w:val="22"/>
        </w:rPr>
        <w:lastRenderedPageBreak/>
        <w:t>Como antecedente directo, el Fondo de Desarrollo Local de Ciudad Bolívar registra procesos asociados al fortalecimiento de saberes y prácticas ancestrales de pueblos indígenas y, para la vigencia 2026, fuentes públicas reportan una solicitud de información a proveedores para cotizar la implementación y fortalecimiento de iniciativas concertadas con los pueblos indígenas de Ciudad Bolívar en el marco del Proyecto de Inversión 2318. Esta información deberá contrastarse con SECOP II antes de la aprobación final del estudio.</w:t>
      </w:r>
    </w:p>
    <w:p w14:paraId="663EE62D" w14:textId="77777777" w:rsidR="00257E44" w:rsidRPr="00FD7602" w:rsidRDefault="00257E44" w:rsidP="00257E44">
      <w:pPr>
        <w:ind w:right="49"/>
        <w:jc w:val="both"/>
        <w:rPr>
          <w:rFonts w:ascii="Garamond" w:hAnsi="Garamond"/>
          <w:b/>
          <w:bCs/>
          <w:iCs/>
          <w:sz w:val="22"/>
          <w:szCs w:val="22"/>
        </w:rPr>
      </w:pPr>
    </w:p>
    <w:p w14:paraId="161131A7" w14:textId="77777777" w:rsidR="00257E44" w:rsidRPr="00FD7602" w:rsidRDefault="00257E44" w:rsidP="00257E44">
      <w:pPr>
        <w:pStyle w:val="Prrafodelista"/>
        <w:numPr>
          <w:ilvl w:val="0"/>
          <w:numId w:val="40"/>
        </w:numPr>
        <w:ind w:right="49"/>
        <w:jc w:val="both"/>
        <w:rPr>
          <w:rFonts w:ascii="Garamond" w:hAnsi="Garamond"/>
          <w:b/>
          <w:bCs/>
          <w:iCs/>
          <w:sz w:val="22"/>
          <w:szCs w:val="22"/>
        </w:rPr>
      </w:pPr>
      <w:r w:rsidRPr="00FD7602">
        <w:rPr>
          <w:rFonts w:ascii="Garamond" w:hAnsi="Garamond"/>
          <w:b/>
          <w:bCs/>
          <w:iCs/>
          <w:sz w:val="22"/>
          <w:szCs w:val="22"/>
        </w:rPr>
        <w:t>ESTUDIOS DE MERCADO:</w:t>
      </w:r>
    </w:p>
    <w:p w14:paraId="2CAA9D53" w14:textId="77777777" w:rsidR="00257E44" w:rsidRPr="00FD7602" w:rsidRDefault="00257E44" w:rsidP="00257E44">
      <w:pPr>
        <w:ind w:right="49"/>
        <w:jc w:val="both"/>
        <w:rPr>
          <w:rFonts w:ascii="Garamond" w:hAnsi="Garamond"/>
          <w:b/>
          <w:bCs/>
          <w:iCs/>
          <w:sz w:val="22"/>
          <w:szCs w:val="22"/>
        </w:rPr>
      </w:pPr>
    </w:p>
    <w:p w14:paraId="286241D6" w14:textId="77777777" w:rsidR="00257E44" w:rsidRPr="00FD7602" w:rsidRDefault="00257E44" w:rsidP="00257E44">
      <w:pPr>
        <w:ind w:right="49"/>
        <w:jc w:val="both"/>
        <w:rPr>
          <w:rFonts w:ascii="Garamond" w:hAnsi="Garamond"/>
          <w:iCs/>
          <w:sz w:val="22"/>
          <w:szCs w:val="22"/>
        </w:rPr>
      </w:pPr>
      <w:r w:rsidRPr="00FD7602">
        <w:rPr>
          <w:rFonts w:ascii="Garamond" w:hAnsi="Garamond"/>
          <w:iCs/>
          <w:sz w:val="22"/>
          <w:szCs w:val="22"/>
        </w:rPr>
        <w:t>El análisis de costos del presente proceso hace parte integral de los documentos de formulación que componen el proceso.</w:t>
      </w:r>
    </w:p>
    <w:p w14:paraId="5C84698F" w14:textId="77777777" w:rsidR="00257E44" w:rsidRPr="00FD7602" w:rsidRDefault="00257E44" w:rsidP="00257E44">
      <w:pPr>
        <w:ind w:right="49"/>
        <w:jc w:val="both"/>
        <w:rPr>
          <w:rFonts w:ascii="Garamond" w:hAnsi="Garamond"/>
          <w:iCs/>
          <w:sz w:val="22"/>
          <w:szCs w:val="22"/>
        </w:rPr>
      </w:pPr>
    </w:p>
    <w:p w14:paraId="5ED28357" w14:textId="77777777" w:rsidR="00257E44" w:rsidRPr="00FD7602" w:rsidRDefault="00257E44" w:rsidP="00257E44">
      <w:pPr>
        <w:ind w:right="49"/>
        <w:jc w:val="both"/>
        <w:rPr>
          <w:rFonts w:ascii="Garamond" w:hAnsi="Garamond"/>
          <w:iCs/>
          <w:sz w:val="22"/>
          <w:szCs w:val="22"/>
        </w:rPr>
      </w:pPr>
      <w:r w:rsidRPr="00FD7602">
        <w:rPr>
          <w:rFonts w:ascii="Garamond" w:hAnsi="Garamond"/>
          <w:iCs/>
          <w:sz w:val="22"/>
          <w:szCs w:val="22"/>
        </w:rPr>
        <w:t>Remitirse a los documentos denominados “Análisis de costos”.</w:t>
      </w:r>
    </w:p>
    <w:p w14:paraId="4D058C21" w14:textId="77777777" w:rsidR="00257E44" w:rsidRPr="00FD7602" w:rsidRDefault="00257E44" w:rsidP="00257E44">
      <w:pPr>
        <w:ind w:right="49"/>
        <w:jc w:val="both"/>
        <w:rPr>
          <w:rFonts w:ascii="Garamond" w:hAnsi="Garamond"/>
          <w:iCs/>
          <w:sz w:val="22"/>
          <w:szCs w:val="22"/>
        </w:rPr>
      </w:pPr>
    </w:p>
    <w:p w14:paraId="68DD9A90" w14:textId="77777777" w:rsidR="00257E44" w:rsidRPr="00FD7602" w:rsidRDefault="00257E44" w:rsidP="00257E44">
      <w:pPr>
        <w:pStyle w:val="Estilo1TituloEstudiodelsector"/>
        <w:numPr>
          <w:ilvl w:val="0"/>
          <w:numId w:val="40"/>
        </w:numPr>
        <w:ind w:right="49"/>
        <w:rPr>
          <w:rFonts w:cs="Times New Roman"/>
          <w:sz w:val="22"/>
          <w:szCs w:val="22"/>
        </w:rPr>
      </w:pPr>
      <w:r w:rsidRPr="00FD7602">
        <w:rPr>
          <w:rFonts w:cs="Times New Roman"/>
          <w:sz w:val="22"/>
          <w:szCs w:val="22"/>
        </w:rPr>
        <w:t>CONCLUSION:</w:t>
      </w:r>
    </w:p>
    <w:p w14:paraId="187F7895" w14:textId="77777777" w:rsidR="00257E44" w:rsidRPr="00FD7602" w:rsidRDefault="00257E44" w:rsidP="00257E44">
      <w:pPr>
        <w:ind w:right="49"/>
        <w:jc w:val="both"/>
        <w:rPr>
          <w:rFonts w:ascii="Garamond" w:hAnsi="Garamond"/>
          <w:b/>
          <w:bCs/>
          <w:iCs/>
          <w:sz w:val="22"/>
          <w:szCs w:val="22"/>
        </w:rPr>
      </w:pPr>
    </w:p>
    <w:p w14:paraId="6D419FAD" w14:textId="77777777" w:rsidR="00C07C70" w:rsidRPr="00FD7602" w:rsidRDefault="00C07C70" w:rsidP="00C07C70">
      <w:pPr>
        <w:pStyle w:val="Estilo1TituloEstudiodelsector"/>
        <w:numPr>
          <w:ilvl w:val="0"/>
          <w:numId w:val="0"/>
        </w:numPr>
        <w:rPr>
          <w:rFonts w:cs="Times New Roman"/>
          <w:b w:val="0"/>
          <w:bCs/>
          <w:sz w:val="22"/>
          <w:szCs w:val="22"/>
        </w:rPr>
      </w:pPr>
      <w:r w:rsidRPr="00FD7602">
        <w:rPr>
          <w:rFonts w:cs="Times New Roman"/>
          <w:b w:val="0"/>
          <w:bCs/>
          <w:sz w:val="22"/>
          <w:szCs w:val="22"/>
        </w:rPr>
        <w:t>Con base en la información recopilada y actualizada para la vigencia 2026, se concluye que el sector relacionado con servicios culturales, comunitarios, logísticos y de fortalecimiento indígena cuenta con oferta especializada, aunque concentrada en actores con experiencia específica y pertinencia cultural. La ejecución del proyecto requiere una combinación de capacidad operativa, legitimidad comunitaria, conocimiento de los pueblos indígenas, experiencia en medicina ancestral, prácticas culturales propias, conmemoraciones y manejo logístico de actividades colectivas.</w:t>
      </w:r>
    </w:p>
    <w:p w14:paraId="0997AEDB" w14:textId="77777777" w:rsidR="00C07C70" w:rsidRPr="00FD7602" w:rsidRDefault="00C07C70" w:rsidP="00C07C70">
      <w:pPr>
        <w:pStyle w:val="Estilo1TituloEstudiodelsector"/>
        <w:numPr>
          <w:ilvl w:val="0"/>
          <w:numId w:val="0"/>
        </w:numPr>
        <w:rPr>
          <w:rFonts w:cs="Times New Roman"/>
          <w:b w:val="0"/>
          <w:bCs/>
          <w:sz w:val="22"/>
          <w:szCs w:val="22"/>
        </w:rPr>
      </w:pPr>
    </w:p>
    <w:p w14:paraId="1B1BB68B" w14:textId="77777777" w:rsidR="00C07C70" w:rsidRPr="00FD7602" w:rsidRDefault="00C07C70" w:rsidP="00C07C70">
      <w:pPr>
        <w:pStyle w:val="Estilo1TituloEstudiodelsector"/>
        <w:numPr>
          <w:ilvl w:val="0"/>
          <w:numId w:val="0"/>
        </w:numPr>
        <w:rPr>
          <w:rFonts w:cs="Times New Roman"/>
          <w:b w:val="0"/>
          <w:bCs/>
          <w:sz w:val="22"/>
          <w:szCs w:val="22"/>
        </w:rPr>
      </w:pPr>
      <w:r w:rsidRPr="00FD7602">
        <w:rPr>
          <w:rFonts w:cs="Times New Roman"/>
          <w:b w:val="0"/>
          <w:bCs/>
          <w:sz w:val="22"/>
          <w:szCs w:val="22"/>
        </w:rPr>
        <w:t>En cumplimiento del principio de planeación y del marco jurídico vigente, la entidad debe verificar los mecanismos dispuestos por Colombia Compra Eficiente, así como la información disponible en SECOP II y el MAE, con el fin de confirmar la inexistencia o no pertinencia de instrumentos de agregación de demanda que satisfagan integralmente la necesidad identificada, especialmente por el componente de enfoque étnico diferencial y concertación comunitaria.</w:t>
      </w:r>
    </w:p>
    <w:p w14:paraId="1136A1B4" w14:textId="77777777" w:rsidR="00C07C70" w:rsidRPr="00FD7602" w:rsidRDefault="00C07C70" w:rsidP="00C07C70">
      <w:pPr>
        <w:pStyle w:val="Estilo1TituloEstudiodelsector"/>
        <w:numPr>
          <w:ilvl w:val="0"/>
          <w:numId w:val="0"/>
        </w:numPr>
        <w:rPr>
          <w:rFonts w:cs="Times New Roman"/>
          <w:b w:val="0"/>
          <w:bCs/>
          <w:sz w:val="22"/>
          <w:szCs w:val="22"/>
        </w:rPr>
      </w:pPr>
    </w:p>
    <w:p w14:paraId="77E63A7F" w14:textId="77777777" w:rsidR="00C07C70" w:rsidRPr="00FD7602" w:rsidRDefault="00C07C70" w:rsidP="00C07C70">
      <w:pPr>
        <w:pStyle w:val="Estilo1TituloEstudiodelsector"/>
        <w:numPr>
          <w:ilvl w:val="0"/>
          <w:numId w:val="0"/>
        </w:numPr>
        <w:rPr>
          <w:rFonts w:cs="Times New Roman"/>
          <w:b w:val="0"/>
          <w:bCs/>
          <w:sz w:val="22"/>
          <w:szCs w:val="22"/>
        </w:rPr>
      </w:pPr>
      <w:r w:rsidRPr="00FD7602">
        <w:rPr>
          <w:rFonts w:cs="Times New Roman"/>
          <w:b w:val="0"/>
          <w:bCs/>
          <w:sz w:val="22"/>
          <w:szCs w:val="22"/>
        </w:rPr>
        <w:t>El análisis actualizado permite señalar que la contratación directa con una autoridad u organización indígena idónea puede constituir la alternativa más adecuada cuando se acredite experiencia, capacidad jurídica, legitimidad, conocimiento territorial, pertinencia cultural y relación directa con el objeto contractual. Esta modalidad permite atender la necesidad pública respetando los usos, costumbres, gobierno propio y procesos de concertación de los pueblos indígenas.</w:t>
      </w:r>
    </w:p>
    <w:p w14:paraId="565F1E9C" w14:textId="77777777" w:rsidR="00C07C70" w:rsidRPr="00FD7602" w:rsidRDefault="00C07C70" w:rsidP="00C07C70">
      <w:pPr>
        <w:pStyle w:val="Estilo1TituloEstudiodelsector"/>
        <w:numPr>
          <w:ilvl w:val="0"/>
          <w:numId w:val="0"/>
        </w:numPr>
        <w:rPr>
          <w:rFonts w:cs="Times New Roman"/>
          <w:b w:val="0"/>
          <w:bCs/>
          <w:sz w:val="22"/>
          <w:szCs w:val="22"/>
        </w:rPr>
      </w:pPr>
    </w:p>
    <w:p w14:paraId="1A2625E9" w14:textId="77777777" w:rsidR="00123B26" w:rsidRPr="00FD7602" w:rsidRDefault="00C07C70" w:rsidP="00C07C70">
      <w:pPr>
        <w:pStyle w:val="Estilo1TituloEstudiodelsector"/>
        <w:numPr>
          <w:ilvl w:val="0"/>
          <w:numId w:val="0"/>
        </w:numPr>
        <w:rPr>
          <w:rFonts w:cs="Times New Roman"/>
          <w:b w:val="0"/>
          <w:bCs/>
          <w:sz w:val="22"/>
          <w:szCs w:val="22"/>
        </w:rPr>
      </w:pPr>
      <w:r w:rsidRPr="00FD7602">
        <w:rPr>
          <w:rFonts w:cs="Times New Roman"/>
          <w:b w:val="0"/>
          <w:bCs/>
          <w:sz w:val="22"/>
          <w:szCs w:val="22"/>
        </w:rPr>
        <w:t>La decisión contractual deberá enmarcarse en el Convenio 169 de la OIT, la Ley 21 de 1991, la Ley 80 de 1993, la Ley 1150 de 2007, la Ley 2160 de 2021, el Decreto 1082 de 2015, el Decreto Ley 1953 de 2014 y demás normas aplicables, garantizando trazabilidad, soporte técnico, verificación de idoneidad, control de riesgos y adecuada ejecución de los recursos públicos.</w:t>
      </w:r>
    </w:p>
    <w:p w14:paraId="448909F3" w14:textId="77777777" w:rsidR="00754F1B" w:rsidRPr="00FD7602" w:rsidRDefault="00754F1B" w:rsidP="00C07C70">
      <w:pPr>
        <w:pStyle w:val="Estilo1TituloEstudiodelsector"/>
        <w:numPr>
          <w:ilvl w:val="0"/>
          <w:numId w:val="0"/>
        </w:numPr>
        <w:rPr>
          <w:rFonts w:cs="Times New Roman"/>
          <w:b w:val="0"/>
          <w:bCs/>
          <w:sz w:val="22"/>
          <w:szCs w:val="22"/>
        </w:rPr>
      </w:pPr>
    </w:p>
    <w:p w14:paraId="584F92DB" w14:textId="77777777" w:rsidR="00754F1B" w:rsidRPr="00FD7602" w:rsidRDefault="00754F1B" w:rsidP="00C07C70">
      <w:pPr>
        <w:pStyle w:val="Estilo1TituloEstudiodelsector"/>
        <w:numPr>
          <w:ilvl w:val="0"/>
          <w:numId w:val="0"/>
        </w:numPr>
        <w:rPr>
          <w:rFonts w:cs="Times New Roman"/>
          <w:b w:val="0"/>
          <w:bCs/>
          <w:sz w:val="22"/>
          <w:szCs w:val="22"/>
        </w:rPr>
      </w:pPr>
    </w:p>
    <w:p w14:paraId="7FC1C4C1" w14:textId="77777777" w:rsidR="00B36B89" w:rsidRPr="00FD7602" w:rsidRDefault="006E069F" w:rsidP="00AE7FD8">
      <w:pPr>
        <w:jc w:val="both"/>
        <w:rPr>
          <w:rFonts w:ascii="Garamond" w:hAnsi="Garamond"/>
          <w:sz w:val="22"/>
          <w:szCs w:val="22"/>
        </w:rPr>
      </w:pPr>
      <w:r w:rsidRPr="00FD7602">
        <w:rPr>
          <w:rFonts w:ascii="Garamond" w:hAnsi="Garamond"/>
          <w:sz w:val="22"/>
          <w:szCs w:val="22"/>
        </w:rPr>
        <w:t>Fuentes de actualización 2026: DANE - IPC mayo 2026; DANE - PIB primer trimestre 2026pr; DANE - GEIH abril 2026; DANE - EMS abril 2026; DANE - ICTC mayo 2026; OCDE - Panorama económico de Colombia 2026; SUIN-Juriscol - Decretos 1469 y 1470 de 2025; Función Pública - Ley 2160 de 2021 y Decreto 1082 de 2015; Colombia Compra Eficiente - Guía para la Elaboración de Estudios del Sector; fuente pública de procesos SECOP/Colombia Licita consultada para trazabilidad de la solicitud de información de Proyecto 2318 vigencia 2026.</w:t>
      </w:r>
    </w:p>
    <w:p w14:paraId="0F9CCC88" w14:textId="77777777" w:rsidR="009A285A" w:rsidRPr="00FD7602" w:rsidRDefault="009A285A" w:rsidP="00AE7FD8">
      <w:pPr>
        <w:jc w:val="both"/>
        <w:rPr>
          <w:rFonts w:ascii="Garamond" w:hAnsi="Garamond"/>
          <w:sz w:val="22"/>
          <w:szCs w:val="22"/>
        </w:rPr>
      </w:pPr>
    </w:p>
    <w:p w14:paraId="16C0CCD7" w14:textId="77777777" w:rsidR="009A285A" w:rsidRPr="00FD7602" w:rsidRDefault="009A285A" w:rsidP="00AE7FD8">
      <w:pPr>
        <w:jc w:val="both"/>
        <w:rPr>
          <w:rFonts w:ascii="Garamond" w:hAnsi="Garamond"/>
          <w:sz w:val="22"/>
          <w:szCs w:val="22"/>
        </w:rPr>
      </w:pPr>
    </w:p>
    <w:p w14:paraId="0C641B8A" w14:textId="77777777" w:rsidR="009A285A" w:rsidRPr="00FD7602" w:rsidRDefault="009A285A" w:rsidP="00AE7FD8">
      <w:pPr>
        <w:jc w:val="both"/>
        <w:rPr>
          <w:rFonts w:ascii="Garamond" w:hAnsi="Garamond"/>
          <w:sz w:val="22"/>
          <w:szCs w:val="22"/>
        </w:rPr>
      </w:pPr>
    </w:p>
    <w:p w14:paraId="31A8A88D" w14:textId="77777777" w:rsidR="009A285A" w:rsidRPr="000653C8" w:rsidRDefault="009A285A" w:rsidP="00AE7FD8">
      <w:pPr>
        <w:jc w:val="both"/>
        <w:rPr>
          <w:rFonts w:ascii="Garamond" w:hAnsi="Garamond"/>
          <w:iCs/>
          <w:sz w:val="18"/>
          <w:szCs w:val="18"/>
          <w:lang w:val="es-ES"/>
        </w:rPr>
      </w:pPr>
    </w:p>
    <w:p w14:paraId="29C55579" w14:textId="783ED1F3" w:rsidR="009A285A" w:rsidRPr="000653C8" w:rsidRDefault="009A285A" w:rsidP="009A285A">
      <w:pPr>
        <w:jc w:val="both"/>
        <w:rPr>
          <w:rFonts w:ascii="Garamond" w:hAnsi="Garamond"/>
          <w:sz w:val="18"/>
          <w:szCs w:val="18"/>
        </w:rPr>
      </w:pPr>
      <w:r w:rsidRPr="000653C8">
        <w:rPr>
          <w:rFonts w:ascii="Garamond" w:hAnsi="Garamond"/>
          <w:b/>
          <w:bCs/>
          <w:sz w:val="18"/>
          <w:szCs w:val="18"/>
        </w:rPr>
        <w:t>Proyectó</w:t>
      </w:r>
      <w:r w:rsidRPr="000653C8">
        <w:rPr>
          <w:rFonts w:ascii="Garamond" w:hAnsi="Garamond"/>
          <w:sz w:val="18"/>
          <w:szCs w:val="18"/>
        </w:rPr>
        <w:t>: Lorena Inchima Chantre - Componente técnico FDLCB Planeación Social</w:t>
      </w:r>
      <w:r w:rsidR="000653C8">
        <w:rPr>
          <w:rFonts w:ascii="Garamond" w:hAnsi="Garamond"/>
          <w:noProof/>
          <w:sz w:val="18"/>
          <w:szCs w:val="18"/>
          <w14:ligatures w14:val="standardContextual"/>
        </w:rPr>
        <w:drawing>
          <wp:inline distT="0" distB="0" distL="0" distR="0" wp14:anchorId="1D09414E" wp14:editId="677A533A">
            <wp:extent cx="342782" cy="250138"/>
            <wp:effectExtent l="0" t="0" r="635" b="0"/>
            <wp:docPr id="80484187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841873" name="Imagen 80484187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3099" cy="264964"/>
                    </a:xfrm>
                    <a:prstGeom prst="rect">
                      <a:avLst/>
                    </a:prstGeom>
                  </pic:spPr>
                </pic:pic>
              </a:graphicData>
            </a:graphic>
          </wp:inline>
        </w:drawing>
      </w:r>
    </w:p>
    <w:p w14:paraId="126CD994" w14:textId="6223DC0F" w:rsidR="009A285A" w:rsidRPr="000653C8" w:rsidRDefault="009A285A" w:rsidP="009A285A">
      <w:pPr>
        <w:jc w:val="both"/>
        <w:rPr>
          <w:rFonts w:ascii="Garamond" w:hAnsi="Garamond"/>
          <w:b/>
          <w:bCs/>
          <w:color w:val="000000"/>
          <w:sz w:val="18"/>
          <w:szCs w:val="18"/>
          <w:lang w:val="es-MX" w:eastAsia="es-CO"/>
        </w:rPr>
      </w:pPr>
      <w:r w:rsidRPr="000653C8">
        <w:rPr>
          <w:rFonts w:ascii="Garamond" w:hAnsi="Garamond"/>
          <w:noProof/>
          <w:sz w:val="18"/>
          <w:szCs w:val="18"/>
        </w:rPr>
        <w:drawing>
          <wp:anchor distT="0" distB="0" distL="114300" distR="114300" simplePos="0" relativeHeight="251659264" behindDoc="0" locked="0" layoutInCell="1" allowOverlap="1" wp14:anchorId="3D1F7304" wp14:editId="240E87C8">
            <wp:simplePos x="0" y="0"/>
            <wp:positionH relativeFrom="margin">
              <wp:posOffset>3763328</wp:posOffset>
            </wp:positionH>
            <wp:positionV relativeFrom="paragraph">
              <wp:posOffset>84138</wp:posOffset>
            </wp:positionV>
            <wp:extent cx="352425" cy="178767"/>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2425" cy="178767"/>
                    </a:xfrm>
                    <a:prstGeom prst="rect">
                      <a:avLst/>
                    </a:prstGeom>
                    <a:noFill/>
                  </pic:spPr>
                </pic:pic>
              </a:graphicData>
            </a:graphic>
            <wp14:sizeRelH relativeFrom="page">
              <wp14:pctWidth>0</wp14:pctWidth>
            </wp14:sizeRelH>
            <wp14:sizeRelV relativeFrom="page">
              <wp14:pctHeight>0</wp14:pctHeight>
            </wp14:sizeRelV>
          </wp:anchor>
        </w:drawing>
      </w:r>
      <w:r w:rsidRPr="000653C8">
        <w:rPr>
          <w:rFonts w:ascii="Garamond" w:hAnsi="Garamond"/>
          <w:b/>
          <w:bCs/>
          <w:color w:val="000000"/>
          <w:sz w:val="18"/>
          <w:szCs w:val="18"/>
          <w:lang w:val="es-MX" w:eastAsia="es-CO"/>
        </w:rPr>
        <w:t xml:space="preserve">Reviso: </w:t>
      </w:r>
      <w:r w:rsidRPr="000653C8">
        <w:rPr>
          <w:rFonts w:ascii="Garamond" w:hAnsi="Garamond"/>
          <w:color w:val="000000"/>
          <w:sz w:val="18"/>
          <w:szCs w:val="18"/>
          <w:lang w:val="es-MX" w:eastAsia="es-CO"/>
        </w:rPr>
        <w:t xml:space="preserve">Fabian Arcos – </w:t>
      </w:r>
      <w:r w:rsidRPr="000653C8">
        <w:rPr>
          <w:rFonts w:ascii="Garamond" w:hAnsi="Garamond"/>
          <w:sz w:val="18"/>
          <w:szCs w:val="18"/>
        </w:rPr>
        <w:t>Componente técnico FDLCB Planeación Social</w:t>
      </w:r>
    </w:p>
    <w:p w14:paraId="1B872190" w14:textId="77777777" w:rsidR="009A285A" w:rsidRPr="000653C8" w:rsidRDefault="009A285A" w:rsidP="009A285A">
      <w:pPr>
        <w:jc w:val="both"/>
        <w:rPr>
          <w:rFonts w:ascii="Garamond" w:hAnsi="Garamond"/>
          <w:sz w:val="18"/>
          <w:szCs w:val="18"/>
        </w:rPr>
      </w:pPr>
      <w:r w:rsidRPr="000653C8">
        <w:rPr>
          <w:rFonts w:ascii="Garamond" w:hAnsi="Garamond"/>
          <w:b/>
          <w:bCs/>
          <w:sz w:val="18"/>
          <w:szCs w:val="18"/>
        </w:rPr>
        <w:t>Proyectó</w:t>
      </w:r>
      <w:r w:rsidRPr="000653C8">
        <w:rPr>
          <w:rFonts w:ascii="Garamond" w:hAnsi="Garamond"/>
          <w:sz w:val="18"/>
          <w:szCs w:val="18"/>
        </w:rPr>
        <w:t xml:space="preserve">: Cesar Augusto </w:t>
      </w:r>
      <w:proofErr w:type="spellStart"/>
      <w:r w:rsidRPr="000653C8">
        <w:rPr>
          <w:rFonts w:ascii="Garamond" w:hAnsi="Garamond"/>
          <w:sz w:val="18"/>
          <w:szCs w:val="18"/>
        </w:rPr>
        <w:t>Paiba</w:t>
      </w:r>
      <w:proofErr w:type="spellEnd"/>
      <w:r w:rsidRPr="000653C8">
        <w:rPr>
          <w:rFonts w:ascii="Garamond" w:hAnsi="Garamond"/>
          <w:sz w:val="18"/>
          <w:szCs w:val="18"/>
        </w:rPr>
        <w:t xml:space="preserve"> Ardila-Componente Financiero FDLCB Planeación Social</w:t>
      </w:r>
    </w:p>
    <w:p w14:paraId="5EB0BBBF" w14:textId="5B2AFF0B" w:rsidR="009A285A" w:rsidRPr="000653C8" w:rsidRDefault="009A285A" w:rsidP="009A285A">
      <w:pPr>
        <w:jc w:val="both"/>
        <w:rPr>
          <w:rFonts w:ascii="Garamond" w:hAnsi="Garamond"/>
          <w:sz w:val="18"/>
          <w:szCs w:val="18"/>
        </w:rPr>
      </w:pPr>
      <w:r w:rsidRPr="000653C8">
        <w:rPr>
          <w:rFonts w:ascii="Garamond" w:hAnsi="Garamond"/>
          <w:b/>
          <w:bCs/>
          <w:color w:val="000000"/>
          <w:sz w:val="18"/>
          <w:szCs w:val="18"/>
          <w:lang w:val="pt-PT" w:eastAsia="es-CO"/>
        </w:rPr>
        <w:t xml:space="preserve">Reviso: </w:t>
      </w:r>
      <w:r w:rsidRPr="000653C8">
        <w:rPr>
          <w:rFonts w:ascii="Garamond" w:hAnsi="Garamond"/>
          <w:color w:val="000000"/>
          <w:sz w:val="18"/>
          <w:szCs w:val="18"/>
          <w:lang w:val="pt-PT" w:eastAsia="es-CO"/>
        </w:rPr>
        <w:t xml:space="preserve">Maria Paula Alarcon Motta – </w:t>
      </w:r>
      <w:r w:rsidRPr="000653C8">
        <w:rPr>
          <w:rFonts w:ascii="Garamond" w:hAnsi="Garamond"/>
          <w:sz w:val="18"/>
          <w:szCs w:val="18"/>
        </w:rPr>
        <w:t>Componente Financiero FDLCB Planeación Social</w:t>
      </w:r>
      <w:r w:rsidRPr="000653C8">
        <w:rPr>
          <w:rFonts w:ascii="Garamond" w:hAnsi="Garamond"/>
          <w:color w:val="000000"/>
          <w:sz w:val="18"/>
          <w:szCs w:val="18"/>
          <w:lang w:val="pt-PT" w:eastAsia="es-CO"/>
        </w:rPr>
        <w:t xml:space="preserve"> </w:t>
      </w:r>
      <w:r w:rsidRPr="000653C8">
        <w:rPr>
          <w:rFonts w:ascii="Garamond" w:hAnsi="Garamond"/>
          <w:noProof/>
          <w:sz w:val="18"/>
          <w:szCs w:val="18"/>
        </w:rPr>
        <w:drawing>
          <wp:inline distT="0" distB="0" distL="0" distR="0" wp14:anchorId="7051C4AA" wp14:editId="11107A88">
            <wp:extent cx="495566" cy="80963"/>
            <wp:effectExtent l="0" t="0" r="0" b="0"/>
            <wp:docPr id="116770280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702803" name="Imagen 116770280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0173" cy="83349"/>
                    </a:xfrm>
                    <a:prstGeom prst="rect">
                      <a:avLst/>
                    </a:prstGeom>
                  </pic:spPr>
                </pic:pic>
              </a:graphicData>
            </a:graphic>
          </wp:inline>
        </w:drawing>
      </w:r>
    </w:p>
    <w:p w14:paraId="4575F70B" w14:textId="77777777" w:rsidR="009A285A" w:rsidRPr="00FD7602" w:rsidRDefault="009A285A" w:rsidP="00B40440">
      <w:pPr>
        <w:pStyle w:val="Sinespaciado"/>
        <w:spacing w:line="276" w:lineRule="auto"/>
        <w:rPr>
          <w:rFonts w:ascii="Garamond" w:hAnsi="Garamond"/>
          <w:lang w:val="pt-PT"/>
        </w:rPr>
      </w:pPr>
    </w:p>
    <w:p w14:paraId="4B55139F" w14:textId="77777777" w:rsidR="00B36B89" w:rsidRPr="00FD7602" w:rsidRDefault="00B36B89" w:rsidP="00B40440">
      <w:pPr>
        <w:pStyle w:val="Sinespaciado"/>
        <w:spacing w:line="276" w:lineRule="auto"/>
        <w:rPr>
          <w:rFonts w:ascii="Garamond" w:hAnsi="Garamond"/>
          <w:b/>
          <w:bCs/>
          <w:i/>
          <w:iCs/>
          <w:lang w:val="pt-PT"/>
        </w:rPr>
      </w:pPr>
    </w:p>
    <w:sectPr w:rsidR="00B36B89" w:rsidRPr="00FD7602" w:rsidSect="006817B4">
      <w:headerReference w:type="even" r:id="rId31"/>
      <w:headerReference w:type="default" r:id="rId32"/>
      <w:footerReference w:type="default" r:id="rId33"/>
      <w:headerReference w:type="first" r:id="rId34"/>
      <w:pgSz w:w="12240" w:h="15840" w:code="1"/>
      <w:pgMar w:top="873" w:right="1750" w:bottom="1417" w:left="1701" w:header="397" w:footer="564"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Fabian Oswaldo Arcos Munoz" w:date="2026-06-25T15:27:00Z" w:initials="FOAM">
    <w:p w14:paraId="6D01D895" w14:textId="77777777" w:rsidR="000A1248" w:rsidRDefault="000A1248" w:rsidP="00092D01">
      <w:pPr>
        <w:pStyle w:val="Textocomentario"/>
      </w:pPr>
      <w:r>
        <w:rPr>
          <w:rStyle w:val="Refdecomentario"/>
        </w:rPr>
        <w:annotationRef/>
      </w:r>
      <w:r>
        <w:t>Los codigos deben ir de menor a mayor de manera cronologica.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01D89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9395A3C" w16cex:dateUtc="2026-06-25T20: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01D895" w16cid:durableId="09395A3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E55CD" w14:textId="77777777" w:rsidR="007D577B" w:rsidRDefault="007D577B">
      <w:r>
        <w:separator/>
      </w:r>
    </w:p>
  </w:endnote>
  <w:endnote w:type="continuationSeparator" w:id="0">
    <w:p w14:paraId="64E3B1B9" w14:textId="77777777" w:rsidR="007D577B" w:rsidRDefault="007D5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altName w:val="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Arial Nova">
    <w:charset w:val="00"/>
    <w:family w:val="swiss"/>
    <w:pitch w:val="variable"/>
    <w:sig w:usb0="0000028F" w:usb1="00000002"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3140293"/>
      <w:docPartObj>
        <w:docPartGallery w:val="Page Numbers (Bottom of Page)"/>
        <w:docPartUnique/>
      </w:docPartObj>
    </w:sdtPr>
    <w:sdtContent>
      <w:sdt>
        <w:sdtPr>
          <w:id w:val="1728636285"/>
          <w:docPartObj>
            <w:docPartGallery w:val="Page Numbers (Top of Page)"/>
            <w:docPartUnique/>
          </w:docPartObj>
        </w:sdtPr>
        <w:sdtContent>
          <w:p w14:paraId="3D405C62" w14:textId="77777777" w:rsidR="00F67FCB" w:rsidRDefault="00F67FCB">
            <w:pPr>
              <w:pStyle w:val="Piedepgina"/>
              <w:jc w:val="center"/>
            </w:pPr>
            <w:r>
              <w:rPr>
                <w:lang w:val="es-ES"/>
              </w:rPr>
              <w:t xml:space="preserve">Página </w:t>
            </w:r>
            <w:r>
              <w:rPr>
                <w:b/>
                <w:bCs/>
              </w:rPr>
              <w:fldChar w:fldCharType="begin"/>
            </w:r>
            <w:r>
              <w:rPr>
                <w:b/>
                <w:bCs/>
              </w:rPr>
              <w:instrText>PAGE</w:instrText>
            </w:r>
            <w:r>
              <w:rPr>
                <w:b/>
                <w:bCs/>
              </w:rPr>
              <w:fldChar w:fldCharType="separate"/>
            </w:r>
            <w:r>
              <w:rPr>
                <w:b/>
                <w:bCs/>
                <w:lang w:val="es-ES"/>
              </w:rPr>
              <w:t>2</w:t>
            </w:r>
            <w:r>
              <w:rPr>
                <w:b/>
                <w:bCs/>
              </w:rPr>
              <w:fldChar w:fldCharType="end"/>
            </w:r>
            <w:r>
              <w:rPr>
                <w:lang w:val="es-ES"/>
              </w:rPr>
              <w:t xml:space="preserve"> de </w:t>
            </w:r>
            <w:r>
              <w:rPr>
                <w:b/>
                <w:bCs/>
              </w:rPr>
              <w:fldChar w:fldCharType="begin"/>
            </w:r>
            <w:r>
              <w:rPr>
                <w:b/>
                <w:bCs/>
              </w:rPr>
              <w:instrText>NUMPAGES</w:instrText>
            </w:r>
            <w:r>
              <w:rPr>
                <w:b/>
                <w:bCs/>
              </w:rPr>
              <w:fldChar w:fldCharType="separate"/>
            </w:r>
            <w:r>
              <w:rPr>
                <w:b/>
                <w:bCs/>
                <w:lang w:val="es-ES"/>
              </w:rPr>
              <w:t>2</w:t>
            </w:r>
            <w:r>
              <w:rPr>
                <w:b/>
                <w:bCs/>
              </w:rPr>
              <w:fldChar w:fldCharType="end"/>
            </w:r>
          </w:p>
        </w:sdtContent>
      </w:sdt>
    </w:sdtContent>
  </w:sdt>
  <w:p w14:paraId="6924F9B6" w14:textId="77777777" w:rsidR="00F67FCB" w:rsidRDefault="00F67FC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5FC3A" w14:textId="77777777" w:rsidR="007D577B" w:rsidRDefault="007D577B">
      <w:r>
        <w:separator/>
      </w:r>
    </w:p>
  </w:footnote>
  <w:footnote w:type="continuationSeparator" w:id="0">
    <w:p w14:paraId="6AE13BEC" w14:textId="77777777" w:rsidR="007D577B" w:rsidRDefault="007D57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4CFBD" w14:textId="77777777" w:rsidR="00F9617B" w:rsidRDefault="00F9617B">
    <w:r>
      <w:rPr>
        <w:noProof/>
        <w:lang w:val="en-US" w:eastAsia="en-US"/>
      </w:rPr>
      <mc:AlternateContent>
        <mc:Choice Requires="wps">
          <w:drawing>
            <wp:anchor distT="0" distB="0" distL="0" distR="0" simplePos="0" relativeHeight="251658241" behindDoc="0" locked="0" layoutInCell="1" allowOverlap="1" wp14:anchorId="09C25AB4" wp14:editId="09C25AB5">
              <wp:simplePos x="635" y="635"/>
              <wp:positionH relativeFrom="leftMargin">
                <wp:align>left</wp:align>
              </wp:positionH>
              <wp:positionV relativeFrom="paragraph">
                <wp:posOffset>635</wp:posOffset>
              </wp:positionV>
              <wp:extent cx="443865" cy="443865"/>
              <wp:effectExtent l="0" t="0" r="7620" b="5715"/>
              <wp:wrapSquare wrapText="bothSides"/>
              <wp:docPr id="4" name="Cuadro de texto 4"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9007F9B" w14:textId="77777777" w:rsidR="00F9617B" w:rsidRPr="00A7703B" w:rsidRDefault="00F9617B">
                          <w:pPr>
                            <w:rPr>
                              <w:rFonts w:eastAsia="Calibri"/>
                              <w:noProof/>
                              <w:color w:val="000000"/>
                              <w:sz w:val="30"/>
                              <w:szCs w:val="30"/>
                            </w:rPr>
                          </w:pPr>
                          <w:r w:rsidRPr="00A7703B">
                            <w:rPr>
                              <w:rFonts w:eastAsia="Calibri"/>
                              <w:noProof/>
                              <w:color w:val="000000"/>
                              <w:sz w:val="30"/>
                              <w:szCs w:val="30"/>
                            </w:rPr>
                            <w:t>Información Pública Clasificada</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9C25AB4" id="_x0000_t202" coordsize="21600,21600" o:spt="202" path="m,l,21600r21600,l21600,xe">
              <v:stroke joinstyle="miter"/>
              <v:path gradientshapeok="t" o:connecttype="rect"/>
            </v:shapetype>
            <v:shape id="Cuadro de texto 4" o:spid="_x0000_s1026" type="#_x0000_t202" alt="Información Pública Clasificada"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19007F9B" w14:textId="77777777" w:rsidR="00F9617B" w:rsidRPr="00A7703B" w:rsidRDefault="00F9617B">
                    <w:pPr>
                      <w:rPr>
                        <w:rFonts w:eastAsia="Calibri"/>
                        <w:noProof/>
                        <w:color w:val="000000"/>
                        <w:sz w:val="30"/>
                        <w:szCs w:val="30"/>
                      </w:rPr>
                    </w:pPr>
                    <w:r w:rsidRPr="00A7703B">
                      <w:rPr>
                        <w:rFonts w:eastAsia="Calibri"/>
                        <w:noProof/>
                        <w:color w:val="000000"/>
                        <w:sz w:val="30"/>
                        <w:szCs w:val="30"/>
                      </w:rPr>
                      <w:t>Información Pública Clasificada</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3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6A0" w:firstRow="1" w:lastRow="0" w:firstColumn="1" w:lastColumn="0" w:noHBand="1" w:noVBand="1"/>
    </w:tblPr>
    <w:tblGrid>
      <w:gridCol w:w="3044"/>
      <w:gridCol w:w="3417"/>
      <w:gridCol w:w="2670"/>
    </w:tblGrid>
    <w:tr w:rsidR="00F9617B" w:rsidRPr="000C4C1D" w14:paraId="4EB44B5E" w14:textId="77777777" w:rsidTr="00AE7FD8">
      <w:trPr>
        <w:trHeight w:val="779"/>
      </w:trPr>
      <w:tc>
        <w:tcPr>
          <w:tcW w:w="3044" w:type="dxa"/>
        </w:tcPr>
        <w:p w14:paraId="64FEB0CE" w14:textId="77777777" w:rsidR="00F9617B" w:rsidRPr="000C4C1D" w:rsidRDefault="00F9617B" w:rsidP="00AE7FD8">
          <w:pPr>
            <w:ind w:left="-115"/>
          </w:pPr>
          <w:r w:rsidRPr="000C4C1D">
            <w:rPr>
              <w:noProof/>
              <w:lang w:val="en-US" w:eastAsia="en-US"/>
            </w:rPr>
            <w:drawing>
              <wp:anchor distT="0" distB="0" distL="114300" distR="114300" simplePos="0" relativeHeight="251658242" behindDoc="0" locked="0" layoutInCell="1" allowOverlap="1" wp14:anchorId="09C25AB6" wp14:editId="09C25AB7">
                <wp:simplePos x="0" y="0"/>
                <wp:positionH relativeFrom="column">
                  <wp:posOffset>413385</wp:posOffset>
                </wp:positionH>
                <wp:positionV relativeFrom="paragraph">
                  <wp:posOffset>81280</wp:posOffset>
                </wp:positionV>
                <wp:extent cx="713605" cy="623521"/>
                <wp:effectExtent l="0" t="0" r="0" b="5715"/>
                <wp:wrapNone/>
                <wp:docPr id="823746031" name="Imagen 82374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rcRect r="63144"/>
                        <a:stretch>
                          <a:fillRect/>
                        </a:stretch>
                      </pic:blipFill>
                      <pic:spPr>
                        <a:xfrm>
                          <a:off x="0" y="0"/>
                          <a:ext cx="713605" cy="623521"/>
                        </a:xfrm>
                        <a:prstGeom prst="rect">
                          <a:avLst/>
                        </a:prstGeom>
                      </pic:spPr>
                    </pic:pic>
                  </a:graphicData>
                </a:graphic>
                <wp14:sizeRelH relativeFrom="page">
                  <wp14:pctWidth>0</wp14:pctWidth>
                </wp14:sizeRelH>
                <wp14:sizeRelV relativeFrom="page">
                  <wp14:pctHeight>0</wp14:pctHeight>
                </wp14:sizeRelV>
              </wp:anchor>
            </w:drawing>
          </w:r>
        </w:p>
      </w:tc>
      <w:tc>
        <w:tcPr>
          <w:tcW w:w="3417" w:type="dxa"/>
        </w:tcPr>
        <w:p w14:paraId="19D1C4DA" w14:textId="77777777" w:rsidR="00F9617B" w:rsidRDefault="00F9617B" w:rsidP="00AE7FD8">
          <w:pPr>
            <w:jc w:val="center"/>
            <w:rPr>
              <w:rFonts w:ascii="Arial Narrow" w:hAnsi="Arial Narrow"/>
              <w:b/>
              <w:bCs/>
            </w:rPr>
          </w:pPr>
        </w:p>
        <w:p w14:paraId="1F7995E5" w14:textId="77777777" w:rsidR="00F9617B" w:rsidRDefault="00F9617B" w:rsidP="00AE7FD8">
          <w:pPr>
            <w:jc w:val="center"/>
            <w:rPr>
              <w:rFonts w:ascii="Arial Narrow" w:hAnsi="Arial Narrow"/>
              <w:b/>
              <w:bCs/>
            </w:rPr>
          </w:pPr>
        </w:p>
        <w:p w14:paraId="16783C99" w14:textId="77777777" w:rsidR="00F9617B" w:rsidRPr="000C4C1D" w:rsidRDefault="00F9617B" w:rsidP="00AE7FD8">
          <w:pPr>
            <w:jc w:val="center"/>
            <w:rPr>
              <w:rFonts w:ascii="Arial Narrow" w:hAnsi="Arial Narrow"/>
              <w:b/>
              <w:bCs/>
            </w:rPr>
          </w:pPr>
          <w:r w:rsidRPr="000C4C1D">
            <w:rPr>
              <w:rFonts w:ascii="Arial Narrow" w:hAnsi="Arial Narrow"/>
              <w:b/>
              <w:bCs/>
            </w:rPr>
            <w:t xml:space="preserve">ALCALDÍA LOCAL DE </w:t>
          </w:r>
          <w:r>
            <w:rPr>
              <w:rFonts w:ascii="Arial Narrow" w:hAnsi="Arial Narrow"/>
              <w:b/>
              <w:bCs/>
            </w:rPr>
            <w:t xml:space="preserve">CIUDAD BOLÍVAR </w:t>
          </w:r>
        </w:p>
        <w:p w14:paraId="1DB97B39" w14:textId="77777777" w:rsidR="00F9617B" w:rsidRPr="000C4C1D" w:rsidRDefault="00F9617B" w:rsidP="00AE7FD8">
          <w:pPr>
            <w:jc w:val="center"/>
            <w:rPr>
              <w:rFonts w:ascii="Arial Narrow" w:hAnsi="Arial Narrow"/>
              <w:b/>
              <w:bCs/>
            </w:rPr>
          </w:pPr>
        </w:p>
        <w:p w14:paraId="6FB8F1AD" w14:textId="77777777" w:rsidR="00F9617B" w:rsidRPr="000C4C1D" w:rsidRDefault="00F9617B" w:rsidP="00AE7FD8">
          <w:pPr>
            <w:jc w:val="center"/>
            <w:rPr>
              <w:lang w:val="es-AR"/>
            </w:rPr>
          </w:pPr>
        </w:p>
      </w:tc>
      <w:tc>
        <w:tcPr>
          <w:tcW w:w="2670" w:type="dxa"/>
        </w:tcPr>
        <w:p w14:paraId="251C6DFD" w14:textId="77777777" w:rsidR="00F9617B" w:rsidRPr="000C4C1D" w:rsidRDefault="00F9617B" w:rsidP="00AE7FD8">
          <w:pPr>
            <w:ind w:right="-115"/>
            <w:jc w:val="right"/>
          </w:pPr>
          <w:r w:rsidRPr="000C4C1D">
            <w:rPr>
              <w:noProof/>
              <w:lang w:val="en-US" w:eastAsia="en-US"/>
            </w:rPr>
            <w:drawing>
              <wp:anchor distT="0" distB="0" distL="114300" distR="114300" simplePos="0" relativeHeight="251658243" behindDoc="0" locked="0" layoutInCell="1" allowOverlap="1" wp14:anchorId="09C25AB8" wp14:editId="09C25AB9">
                <wp:simplePos x="0" y="0"/>
                <wp:positionH relativeFrom="column">
                  <wp:posOffset>112395</wp:posOffset>
                </wp:positionH>
                <wp:positionV relativeFrom="paragraph">
                  <wp:posOffset>104775</wp:posOffset>
                </wp:positionV>
                <wp:extent cx="1139406" cy="621196"/>
                <wp:effectExtent l="0" t="0" r="3810" b="7620"/>
                <wp:wrapSquare wrapText="bothSides"/>
                <wp:docPr id="1274403188" name="Imagen 127440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cstate="print">
                          <a:extLst>
                            <a:ext uri="{28A0092B-C50C-407E-A947-70E740481C1C}">
                              <a14:useLocalDpi xmlns:a14="http://schemas.microsoft.com/office/drawing/2010/main" val="0"/>
                            </a:ext>
                          </a:extLst>
                        </a:blip>
                        <a:srcRect l="40512"/>
                        <a:stretch>
                          <a:fillRect/>
                        </a:stretch>
                      </pic:blipFill>
                      <pic:spPr>
                        <a:xfrm>
                          <a:off x="0" y="0"/>
                          <a:ext cx="1139406" cy="621196"/>
                        </a:xfrm>
                        <a:prstGeom prst="rect">
                          <a:avLst/>
                        </a:prstGeom>
                      </pic:spPr>
                    </pic:pic>
                  </a:graphicData>
                </a:graphic>
              </wp:anchor>
            </w:drawing>
          </w:r>
        </w:p>
      </w:tc>
    </w:tr>
  </w:tbl>
  <w:p w14:paraId="75BC216C" w14:textId="77777777" w:rsidR="00F9617B" w:rsidRDefault="00F9617B" w:rsidP="00AE7FD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A435E" w14:textId="77777777" w:rsidR="00F9617B" w:rsidRDefault="00F9617B">
    <w:r>
      <w:rPr>
        <w:noProof/>
        <w:lang w:val="en-US" w:eastAsia="en-US"/>
      </w:rPr>
      <mc:AlternateContent>
        <mc:Choice Requires="wps">
          <w:drawing>
            <wp:anchor distT="0" distB="0" distL="0" distR="0" simplePos="0" relativeHeight="251658240" behindDoc="0" locked="0" layoutInCell="1" allowOverlap="1" wp14:anchorId="09C25ABA" wp14:editId="09C25ABB">
              <wp:simplePos x="635" y="635"/>
              <wp:positionH relativeFrom="leftMargin">
                <wp:align>left</wp:align>
              </wp:positionH>
              <wp:positionV relativeFrom="paragraph">
                <wp:posOffset>635</wp:posOffset>
              </wp:positionV>
              <wp:extent cx="443865" cy="443865"/>
              <wp:effectExtent l="0" t="0" r="7620" b="5715"/>
              <wp:wrapSquare wrapText="bothSides"/>
              <wp:docPr id="740014064" name="Cuadro de texto 740014064" descr="Información Pública Clasificad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D27F9B6" w14:textId="77777777" w:rsidR="00F9617B" w:rsidRPr="00A7703B" w:rsidRDefault="00F9617B">
                          <w:pPr>
                            <w:rPr>
                              <w:rFonts w:eastAsia="Calibri"/>
                              <w:noProof/>
                              <w:color w:val="000000"/>
                              <w:sz w:val="30"/>
                              <w:szCs w:val="30"/>
                            </w:rPr>
                          </w:pPr>
                          <w:r w:rsidRPr="00A7703B">
                            <w:rPr>
                              <w:rFonts w:eastAsia="Calibri"/>
                              <w:noProof/>
                              <w:color w:val="000000"/>
                              <w:sz w:val="30"/>
                              <w:szCs w:val="30"/>
                            </w:rPr>
                            <w:t>Información Pública Clasificada</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9C25ABA" id="_x0000_t202" coordsize="21600,21600" o:spt="202" path="m,l,21600r21600,l21600,xe">
              <v:stroke joinstyle="miter"/>
              <v:path gradientshapeok="t" o:connecttype="rect"/>
            </v:shapetype>
            <v:shape id="Cuadro de texto 740014064" o:spid="_x0000_s1027" type="#_x0000_t202" alt="Información Pública Clasificada"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0D27F9B6" w14:textId="77777777" w:rsidR="00F9617B" w:rsidRPr="00A7703B" w:rsidRDefault="00F9617B">
                    <w:pPr>
                      <w:rPr>
                        <w:rFonts w:eastAsia="Calibri"/>
                        <w:noProof/>
                        <w:color w:val="000000"/>
                        <w:sz w:val="30"/>
                        <w:szCs w:val="30"/>
                      </w:rPr>
                    </w:pPr>
                    <w:r w:rsidRPr="00A7703B">
                      <w:rPr>
                        <w:rFonts w:eastAsia="Calibri"/>
                        <w:noProof/>
                        <w:color w:val="000000"/>
                        <w:sz w:val="30"/>
                        <w:szCs w:val="30"/>
                      </w:rPr>
                      <w:t>Información Pública Clasificada</w:t>
                    </w: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5"/>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2F61D5"/>
    <w:multiLevelType w:val="multilevel"/>
    <w:tmpl w:val="0F86F94C"/>
    <w:lvl w:ilvl="0">
      <w:numFmt w:val="bullet"/>
      <w:lvlText w:val="•"/>
      <w:lvlJc w:val="left"/>
      <w:pPr>
        <w:tabs>
          <w:tab w:val="num" w:pos="720"/>
        </w:tabs>
        <w:ind w:left="720" w:hanging="720"/>
      </w:pPr>
      <w:rPr>
        <w:rFonts w:hint="default"/>
        <w:lang w:val="es-ES" w:eastAsia="en-US" w:bidi="ar-SA"/>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rPr>
        <w:b/>
        <w:bCs/>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DBE5C3D"/>
    <w:multiLevelType w:val="multilevel"/>
    <w:tmpl w:val="9DF68AEA"/>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 w15:restartNumberingAfterBreak="0">
    <w:nsid w:val="16056957"/>
    <w:multiLevelType w:val="hybridMultilevel"/>
    <w:tmpl w:val="F32690BC"/>
    <w:lvl w:ilvl="0" w:tplc="13B8B8E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7F0DD3"/>
    <w:multiLevelType w:val="hybridMultilevel"/>
    <w:tmpl w:val="24AEB160"/>
    <w:lvl w:ilvl="0" w:tplc="E46EF1CE">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B926F36"/>
    <w:multiLevelType w:val="multilevel"/>
    <w:tmpl w:val="53FC5656"/>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15:restartNumberingAfterBreak="0">
    <w:nsid w:val="224F6730"/>
    <w:multiLevelType w:val="multilevel"/>
    <w:tmpl w:val="D84EE2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2E723A3"/>
    <w:multiLevelType w:val="hybridMultilevel"/>
    <w:tmpl w:val="0B1A3176"/>
    <w:lvl w:ilvl="0" w:tplc="080A0001">
      <w:start w:val="1"/>
      <w:numFmt w:val="bullet"/>
      <w:lvlText w:val=""/>
      <w:lvlJc w:val="left"/>
      <w:pPr>
        <w:ind w:left="842" w:hanging="360"/>
      </w:pPr>
      <w:rPr>
        <w:rFonts w:ascii="Symbol" w:hAnsi="Symbol" w:hint="default"/>
        <w:w w:val="100"/>
        <w:sz w:val="22"/>
        <w:szCs w:val="22"/>
        <w:lang w:val="es-ES" w:eastAsia="en-US" w:bidi="ar-SA"/>
      </w:rPr>
    </w:lvl>
    <w:lvl w:ilvl="1" w:tplc="DF6845BC">
      <w:numFmt w:val="bullet"/>
      <w:lvlText w:val="•"/>
      <w:lvlJc w:val="left"/>
      <w:pPr>
        <w:ind w:left="1732" w:hanging="360"/>
      </w:pPr>
      <w:rPr>
        <w:rFonts w:hint="default"/>
        <w:lang w:val="es-ES" w:eastAsia="en-US" w:bidi="ar-SA"/>
      </w:rPr>
    </w:lvl>
    <w:lvl w:ilvl="2" w:tplc="B8FAC694">
      <w:numFmt w:val="bullet"/>
      <w:lvlText w:val="•"/>
      <w:lvlJc w:val="left"/>
      <w:pPr>
        <w:ind w:left="2624" w:hanging="360"/>
      </w:pPr>
      <w:rPr>
        <w:rFonts w:hint="default"/>
        <w:lang w:val="es-ES" w:eastAsia="en-US" w:bidi="ar-SA"/>
      </w:rPr>
    </w:lvl>
    <w:lvl w:ilvl="3" w:tplc="98904624">
      <w:numFmt w:val="bullet"/>
      <w:lvlText w:val="•"/>
      <w:lvlJc w:val="left"/>
      <w:pPr>
        <w:ind w:left="3516" w:hanging="360"/>
      </w:pPr>
      <w:rPr>
        <w:rFonts w:hint="default"/>
        <w:lang w:val="es-ES" w:eastAsia="en-US" w:bidi="ar-SA"/>
      </w:rPr>
    </w:lvl>
    <w:lvl w:ilvl="4" w:tplc="472487FA">
      <w:numFmt w:val="bullet"/>
      <w:lvlText w:val="•"/>
      <w:lvlJc w:val="left"/>
      <w:pPr>
        <w:ind w:left="4408" w:hanging="360"/>
      </w:pPr>
      <w:rPr>
        <w:rFonts w:hint="default"/>
        <w:lang w:val="es-ES" w:eastAsia="en-US" w:bidi="ar-SA"/>
      </w:rPr>
    </w:lvl>
    <w:lvl w:ilvl="5" w:tplc="03624090">
      <w:numFmt w:val="bullet"/>
      <w:lvlText w:val="•"/>
      <w:lvlJc w:val="left"/>
      <w:pPr>
        <w:ind w:left="5300" w:hanging="360"/>
      </w:pPr>
      <w:rPr>
        <w:rFonts w:hint="default"/>
        <w:lang w:val="es-ES" w:eastAsia="en-US" w:bidi="ar-SA"/>
      </w:rPr>
    </w:lvl>
    <w:lvl w:ilvl="6" w:tplc="2CC008BE">
      <w:numFmt w:val="bullet"/>
      <w:lvlText w:val="•"/>
      <w:lvlJc w:val="left"/>
      <w:pPr>
        <w:ind w:left="6192" w:hanging="360"/>
      </w:pPr>
      <w:rPr>
        <w:rFonts w:hint="default"/>
        <w:lang w:val="es-ES" w:eastAsia="en-US" w:bidi="ar-SA"/>
      </w:rPr>
    </w:lvl>
    <w:lvl w:ilvl="7" w:tplc="9CC0D884">
      <w:numFmt w:val="bullet"/>
      <w:lvlText w:val="•"/>
      <w:lvlJc w:val="left"/>
      <w:pPr>
        <w:ind w:left="7084" w:hanging="360"/>
      </w:pPr>
      <w:rPr>
        <w:rFonts w:hint="default"/>
        <w:lang w:val="es-ES" w:eastAsia="en-US" w:bidi="ar-SA"/>
      </w:rPr>
    </w:lvl>
    <w:lvl w:ilvl="8" w:tplc="D04EB83C">
      <w:numFmt w:val="bullet"/>
      <w:lvlText w:val="•"/>
      <w:lvlJc w:val="left"/>
      <w:pPr>
        <w:ind w:left="7976" w:hanging="360"/>
      </w:pPr>
      <w:rPr>
        <w:rFonts w:hint="default"/>
        <w:lang w:val="es-ES" w:eastAsia="en-US" w:bidi="ar-SA"/>
      </w:rPr>
    </w:lvl>
  </w:abstractNum>
  <w:abstractNum w:abstractNumId="8" w15:restartNumberingAfterBreak="0">
    <w:nsid w:val="27650DF3"/>
    <w:multiLevelType w:val="multilevel"/>
    <w:tmpl w:val="AEC2CBB4"/>
    <w:lvl w:ilvl="0">
      <w:start w:val="3"/>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A110046"/>
    <w:multiLevelType w:val="multilevel"/>
    <w:tmpl w:val="6E9E3078"/>
    <w:lvl w:ilvl="0">
      <w:start w:val="1"/>
      <w:numFmt w:val="lowerLett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bullet"/>
      <w:lvlText w:val="o"/>
      <w:lvlJc w:val="left"/>
      <w:pPr>
        <w:ind w:left="1800" w:hanging="360"/>
      </w:pPr>
      <w:rPr>
        <w:rFonts w:ascii="Courier New" w:hAnsi="Courier New" w:cs="Courier New"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D0E318E"/>
    <w:multiLevelType w:val="multilevel"/>
    <w:tmpl w:val="7ED4304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32505406"/>
    <w:multiLevelType w:val="multilevel"/>
    <w:tmpl w:val="80FCB3CC"/>
    <w:lvl w:ilvl="0">
      <w:start w:val="1"/>
      <w:numFmt w:val="decimal"/>
      <w:lvlText w:val="%1."/>
      <w:lvlJc w:val="left"/>
      <w:pPr>
        <w:ind w:left="360" w:hanging="360"/>
      </w:pPr>
      <w:rPr>
        <w:b/>
      </w:rPr>
    </w:lvl>
    <w:lvl w:ilvl="1">
      <w:start w:val="1"/>
      <w:numFmt w:val="decimal"/>
      <w:lvlText w:val="%1.%2."/>
      <w:lvlJc w:val="left"/>
      <w:pPr>
        <w:ind w:left="1065" w:hanging="360"/>
      </w:pPr>
      <w:rPr>
        <w:b/>
      </w:rPr>
    </w:lvl>
    <w:lvl w:ilvl="2">
      <w:start w:val="1"/>
      <w:numFmt w:val="decimal"/>
      <w:lvlText w:val="%1.%2.%3."/>
      <w:lvlJc w:val="left"/>
      <w:pPr>
        <w:ind w:left="2130" w:hanging="720"/>
      </w:pPr>
      <w:rPr>
        <w:b/>
      </w:rPr>
    </w:lvl>
    <w:lvl w:ilvl="3">
      <w:start w:val="1"/>
      <w:numFmt w:val="decimal"/>
      <w:lvlText w:val="%1.%2.%3.%4."/>
      <w:lvlJc w:val="left"/>
      <w:pPr>
        <w:ind w:left="2835" w:hanging="720"/>
      </w:pPr>
      <w:rPr>
        <w:b/>
      </w:rPr>
    </w:lvl>
    <w:lvl w:ilvl="4">
      <w:start w:val="1"/>
      <w:numFmt w:val="decimal"/>
      <w:lvlText w:val="%1.%2.%3.%4.%5."/>
      <w:lvlJc w:val="left"/>
      <w:pPr>
        <w:ind w:left="3900" w:hanging="1080"/>
      </w:pPr>
      <w:rPr>
        <w:b/>
      </w:rPr>
    </w:lvl>
    <w:lvl w:ilvl="5">
      <w:start w:val="1"/>
      <w:numFmt w:val="decimal"/>
      <w:lvlText w:val="%1.%2.%3.%4.%5.%6."/>
      <w:lvlJc w:val="left"/>
      <w:pPr>
        <w:ind w:left="4605" w:hanging="1080"/>
      </w:pPr>
      <w:rPr>
        <w:b/>
      </w:rPr>
    </w:lvl>
    <w:lvl w:ilvl="6">
      <w:start w:val="1"/>
      <w:numFmt w:val="decimal"/>
      <w:lvlText w:val="%1.%2.%3.%4.%5.%6.%7."/>
      <w:lvlJc w:val="left"/>
      <w:pPr>
        <w:ind w:left="5310" w:hanging="1080"/>
      </w:pPr>
      <w:rPr>
        <w:b/>
      </w:rPr>
    </w:lvl>
    <w:lvl w:ilvl="7">
      <w:start w:val="1"/>
      <w:numFmt w:val="decimal"/>
      <w:lvlText w:val="%1.%2.%3.%4.%5.%6.%7.%8."/>
      <w:lvlJc w:val="left"/>
      <w:pPr>
        <w:ind w:left="6375" w:hanging="1440"/>
      </w:pPr>
      <w:rPr>
        <w:b/>
      </w:rPr>
    </w:lvl>
    <w:lvl w:ilvl="8">
      <w:start w:val="1"/>
      <w:numFmt w:val="decimal"/>
      <w:lvlText w:val="%1.%2.%3.%4.%5.%6.%7.%8.%9."/>
      <w:lvlJc w:val="left"/>
      <w:pPr>
        <w:ind w:left="7080" w:hanging="1440"/>
      </w:pPr>
      <w:rPr>
        <w:b/>
      </w:rPr>
    </w:lvl>
  </w:abstractNum>
  <w:abstractNum w:abstractNumId="12" w15:restartNumberingAfterBreak="0">
    <w:nsid w:val="358E343F"/>
    <w:multiLevelType w:val="multilevel"/>
    <w:tmpl w:val="473C5D4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35BA5A7F"/>
    <w:multiLevelType w:val="multilevel"/>
    <w:tmpl w:val="00F4F876"/>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37DE09DE"/>
    <w:multiLevelType w:val="hybridMultilevel"/>
    <w:tmpl w:val="662C17FE"/>
    <w:lvl w:ilvl="0" w:tplc="ADAAD328">
      <w:start w:val="401"/>
      <w:numFmt w:val="bullet"/>
      <w:lvlText w:val="-"/>
      <w:lvlJc w:val="left"/>
      <w:pPr>
        <w:ind w:left="1080" w:hanging="360"/>
      </w:pPr>
      <w:rPr>
        <w:rFonts w:ascii="Garamond" w:eastAsia="Calibri" w:hAnsi="Garamond" w:cs="Arial" w:hint="default"/>
        <w:b/>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5" w15:restartNumberingAfterBreak="0">
    <w:nsid w:val="387A5A74"/>
    <w:multiLevelType w:val="hybridMultilevel"/>
    <w:tmpl w:val="B19896BE"/>
    <w:lvl w:ilvl="0" w:tplc="756E839E">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E0AFE7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4A8E27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E4742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F3E1A6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02E54F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17E7C7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74AB68C">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E1AC0F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0F13221"/>
    <w:multiLevelType w:val="multilevel"/>
    <w:tmpl w:val="B0D2EB5C"/>
    <w:lvl w:ilvl="0">
      <w:start w:val="3"/>
      <w:numFmt w:val="decimal"/>
      <w:lvlText w:val="%1"/>
      <w:lvlJc w:val="left"/>
      <w:pPr>
        <w:ind w:left="360" w:hanging="360"/>
      </w:pPr>
      <w:rPr>
        <w:rFonts w:ascii="Garamond" w:eastAsia="Garamond" w:hAnsi="Garamond" w:cs="Garamond" w:hint="default"/>
        <w:b/>
        <w:sz w:val="22"/>
      </w:rPr>
    </w:lvl>
    <w:lvl w:ilvl="1">
      <w:start w:val="8"/>
      <w:numFmt w:val="decimal"/>
      <w:lvlText w:val="%1.%2"/>
      <w:lvlJc w:val="left"/>
      <w:pPr>
        <w:ind w:left="360" w:hanging="360"/>
      </w:pPr>
      <w:rPr>
        <w:rFonts w:ascii="Garamond" w:eastAsia="Garamond" w:hAnsi="Garamond" w:cs="Garamond" w:hint="default"/>
        <w:b/>
        <w:sz w:val="22"/>
      </w:rPr>
    </w:lvl>
    <w:lvl w:ilvl="2">
      <w:start w:val="1"/>
      <w:numFmt w:val="decimal"/>
      <w:lvlText w:val="%1.%2.%3"/>
      <w:lvlJc w:val="left"/>
      <w:pPr>
        <w:ind w:left="720" w:hanging="720"/>
      </w:pPr>
      <w:rPr>
        <w:rFonts w:ascii="Garamond" w:eastAsia="Garamond" w:hAnsi="Garamond" w:cs="Garamond" w:hint="default"/>
        <w:b/>
        <w:sz w:val="22"/>
      </w:rPr>
    </w:lvl>
    <w:lvl w:ilvl="3">
      <w:start w:val="1"/>
      <w:numFmt w:val="decimal"/>
      <w:lvlText w:val="%1.%2.%3.%4"/>
      <w:lvlJc w:val="left"/>
      <w:pPr>
        <w:ind w:left="720" w:hanging="720"/>
      </w:pPr>
      <w:rPr>
        <w:rFonts w:ascii="Garamond" w:eastAsia="Garamond" w:hAnsi="Garamond" w:cs="Garamond" w:hint="default"/>
        <w:b/>
        <w:sz w:val="22"/>
      </w:rPr>
    </w:lvl>
    <w:lvl w:ilvl="4">
      <w:start w:val="1"/>
      <w:numFmt w:val="decimal"/>
      <w:lvlText w:val="%1.%2.%3.%4.%5"/>
      <w:lvlJc w:val="left"/>
      <w:pPr>
        <w:ind w:left="1080" w:hanging="1080"/>
      </w:pPr>
      <w:rPr>
        <w:rFonts w:ascii="Garamond" w:eastAsia="Garamond" w:hAnsi="Garamond" w:cs="Garamond" w:hint="default"/>
        <w:b/>
        <w:sz w:val="22"/>
      </w:rPr>
    </w:lvl>
    <w:lvl w:ilvl="5">
      <w:start w:val="1"/>
      <w:numFmt w:val="decimal"/>
      <w:lvlText w:val="%1.%2.%3.%4.%5.%6"/>
      <w:lvlJc w:val="left"/>
      <w:pPr>
        <w:ind w:left="1080" w:hanging="1080"/>
      </w:pPr>
      <w:rPr>
        <w:rFonts w:ascii="Garamond" w:eastAsia="Garamond" w:hAnsi="Garamond" w:cs="Garamond" w:hint="default"/>
        <w:b/>
        <w:sz w:val="22"/>
      </w:rPr>
    </w:lvl>
    <w:lvl w:ilvl="6">
      <w:start w:val="1"/>
      <w:numFmt w:val="decimal"/>
      <w:lvlText w:val="%1.%2.%3.%4.%5.%6.%7"/>
      <w:lvlJc w:val="left"/>
      <w:pPr>
        <w:ind w:left="1440" w:hanging="1440"/>
      </w:pPr>
      <w:rPr>
        <w:rFonts w:ascii="Garamond" w:eastAsia="Garamond" w:hAnsi="Garamond" w:cs="Garamond" w:hint="default"/>
        <w:b/>
        <w:sz w:val="22"/>
      </w:rPr>
    </w:lvl>
    <w:lvl w:ilvl="7">
      <w:start w:val="1"/>
      <w:numFmt w:val="decimal"/>
      <w:lvlText w:val="%1.%2.%3.%4.%5.%6.%7.%8"/>
      <w:lvlJc w:val="left"/>
      <w:pPr>
        <w:ind w:left="1440" w:hanging="1440"/>
      </w:pPr>
      <w:rPr>
        <w:rFonts w:ascii="Garamond" w:eastAsia="Garamond" w:hAnsi="Garamond" w:cs="Garamond" w:hint="default"/>
        <w:b/>
        <w:sz w:val="22"/>
      </w:rPr>
    </w:lvl>
    <w:lvl w:ilvl="8">
      <w:start w:val="1"/>
      <w:numFmt w:val="decimal"/>
      <w:lvlText w:val="%1.%2.%3.%4.%5.%6.%7.%8.%9"/>
      <w:lvlJc w:val="left"/>
      <w:pPr>
        <w:ind w:left="1800" w:hanging="1800"/>
      </w:pPr>
      <w:rPr>
        <w:rFonts w:ascii="Garamond" w:eastAsia="Garamond" w:hAnsi="Garamond" w:cs="Garamond" w:hint="default"/>
        <w:b/>
        <w:sz w:val="22"/>
      </w:rPr>
    </w:lvl>
  </w:abstractNum>
  <w:abstractNum w:abstractNumId="17" w15:restartNumberingAfterBreak="0">
    <w:nsid w:val="42754463"/>
    <w:multiLevelType w:val="multilevel"/>
    <w:tmpl w:val="8730DBCC"/>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rPr>
        <w:b/>
        <w:bCs/>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44D31175"/>
    <w:multiLevelType w:val="multilevel"/>
    <w:tmpl w:val="82323E92"/>
    <w:lvl w:ilvl="0">
      <w:start w:val="1"/>
      <w:numFmt w:val="bullet"/>
      <w:lvlText w:val=""/>
      <w:lvlJc w:val="left"/>
      <w:pPr>
        <w:ind w:left="720" w:hanging="360"/>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6C23580"/>
    <w:multiLevelType w:val="hybridMultilevel"/>
    <w:tmpl w:val="75B6594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A51DB9"/>
    <w:multiLevelType w:val="multilevel"/>
    <w:tmpl w:val="053C26D4"/>
    <w:lvl w:ilvl="0">
      <w:start w:val="5"/>
      <w:numFmt w:val="decimal"/>
      <w:lvlText w:val="%1."/>
      <w:lvlJc w:val="left"/>
      <w:pPr>
        <w:ind w:left="440" w:hanging="44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1" w15:restartNumberingAfterBreak="0">
    <w:nsid w:val="4FDE332E"/>
    <w:multiLevelType w:val="hybridMultilevel"/>
    <w:tmpl w:val="41CA718C"/>
    <w:lvl w:ilvl="0" w:tplc="24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51C827F3"/>
    <w:multiLevelType w:val="multilevel"/>
    <w:tmpl w:val="9B743908"/>
    <w:lvl w:ilvl="0">
      <w:start w:val="3"/>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3" w15:restartNumberingAfterBreak="0">
    <w:nsid w:val="5206008F"/>
    <w:multiLevelType w:val="multilevel"/>
    <w:tmpl w:val="7D3CE9FA"/>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b/>
      </w:rPr>
    </w:lvl>
    <w:lvl w:ilvl="2">
      <w:start w:val="1"/>
      <w:numFmt w:val="low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E52FF5"/>
    <w:multiLevelType w:val="multilevel"/>
    <w:tmpl w:val="F6DE3D96"/>
    <w:lvl w:ilvl="0">
      <w:start w:val="5"/>
      <w:numFmt w:val="decimal"/>
      <w:lvlText w:val="%1"/>
      <w:lvlJc w:val="left"/>
      <w:pPr>
        <w:ind w:left="560" w:hanging="560"/>
      </w:pPr>
      <w:rPr>
        <w:rFonts w:hint="default"/>
      </w:rPr>
    </w:lvl>
    <w:lvl w:ilvl="1">
      <w:start w:val="1"/>
      <w:numFmt w:val="decimal"/>
      <w:lvlText w:val="%1.%2"/>
      <w:lvlJc w:val="left"/>
      <w:pPr>
        <w:ind w:left="680" w:hanging="560"/>
      </w:pPr>
      <w:rPr>
        <w:rFonts w:hint="default"/>
      </w:rPr>
    </w:lvl>
    <w:lvl w:ilvl="2">
      <w:start w:val="1"/>
      <w:numFmt w:val="decimal"/>
      <w:lvlText w:val="%1.%2.%3"/>
      <w:lvlJc w:val="left"/>
      <w:pPr>
        <w:ind w:left="96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200" w:hanging="720"/>
      </w:pPr>
      <w:rPr>
        <w:rFonts w:hint="default"/>
      </w:rPr>
    </w:lvl>
    <w:lvl w:ilvl="5">
      <w:start w:val="1"/>
      <w:numFmt w:val="decimal"/>
      <w:lvlText w:val="%1.%2.%3.%4.%5.%6"/>
      <w:lvlJc w:val="left"/>
      <w:pPr>
        <w:ind w:left="1680" w:hanging="1080"/>
      </w:pPr>
      <w:rPr>
        <w:rFonts w:hint="default"/>
      </w:rPr>
    </w:lvl>
    <w:lvl w:ilvl="6">
      <w:start w:val="1"/>
      <w:numFmt w:val="decimal"/>
      <w:lvlText w:val="%1.%2.%3.%4.%5.%6.%7"/>
      <w:lvlJc w:val="left"/>
      <w:pPr>
        <w:ind w:left="1800" w:hanging="1080"/>
      </w:pPr>
      <w:rPr>
        <w:rFonts w:hint="default"/>
      </w:rPr>
    </w:lvl>
    <w:lvl w:ilvl="7">
      <w:start w:val="1"/>
      <w:numFmt w:val="decimal"/>
      <w:lvlText w:val="%1.%2.%3.%4.%5.%6.%7.%8"/>
      <w:lvlJc w:val="left"/>
      <w:pPr>
        <w:ind w:left="2280" w:hanging="1440"/>
      </w:pPr>
      <w:rPr>
        <w:rFonts w:hint="default"/>
      </w:rPr>
    </w:lvl>
    <w:lvl w:ilvl="8">
      <w:start w:val="1"/>
      <w:numFmt w:val="decimal"/>
      <w:lvlText w:val="%1.%2.%3.%4.%5.%6.%7.%8.%9"/>
      <w:lvlJc w:val="left"/>
      <w:pPr>
        <w:ind w:left="2400" w:hanging="1440"/>
      </w:pPr>
      <w:rPr>
        <w:rFonts w:hint="default"/>
      </w:rPr>
    </w:lvl>
  </w:abstractNum>
  <w:abstractNum w:abstractNumId="25" w15:restartNumberingAfterBreak="0">
    <w:nsid w:val="55BD6889"/>
    <w:multiLevelType w:val="hybridMultilevel"/>
    <w:tmpl w:val="A90A89B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5A7F0564"/>
    <w:multiLevelType w:val="hybridMultilevel"/>
    <w:tmpl w:val="701087F0"/>
    <w:lvl w:ilvl="0" w:tplc="88C470A4">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5ADC6B7B"/>
    <w:multiLevelType w:val="hybridMultilevel"/>
    <w:tmpl w:val="3D3EF29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D6536A5"/>
    <w:multiLevelType w:val="multilevel"/>
    <w:tmpl w:val="3782046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5E692981"/>
    <w:multiLevelType w:val="multilevel"/>
    <w:tmpl w:val="DCEE22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EE5543A"/>
    <w:multiLevelType w:val="hybridMultilevel"/>
    <w:tmpl w:val="FF945798"/>
    <w:lvl w:ilvl="0" w:tplc="080A0001">
      <w:start w:val="1"/>
      <w:numFmt w:val="bullet"/>
      <w:lvlText w:val=""/>
      <w:lvlJc w:val="left"/>
      <w:pPr>
        <w:ind w:left="842"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6332521E"/>
    <w:multiLevelType w:val="hybridMultilevel"/>
    <w:tmpl w:val="308020C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68362863"/>
    <w:multiLevelType w:val="hybridMultilevel"/>
    <w:tmpl w:val="0A54A976"/>
    <w:lvl w:ilvl="0" w:tplc="88C470A4">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72A76D4">
      <w:start w:val="1"/>
      <w:numFmt w:val="bullet"/>
      <w:lvlText w:val="o"/>
      <w:lvlJc w:val="left"/>
      <w:pPr>
        <w:ind w:left="13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B0A816C">
      <w:start w:val="1"/>
      <w:numFmt w:val="bullet"/>
      <w:lvlText w:val="▪"/>
      <w:lvlJc w:val="left"/>
      <w:pPr>
        <w:ind w:left="20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13CDB06">
      <w:start w:val="1"/>
      <w:numFmt w:val="bullet"/>
      <w:lvlText w:val="•"/>
      <w:lvlJc w:val="left"/>
      <w:pPr>
        <w:ind w:left="27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B0CF916">
      <w:start w:val="1"/>
      <w:numFmt w:val="bullet"/>
      <w:lvlText w:val="o"/>
      <w:lvlJc w:val="left"/>
      <w:pPr>
        <w:ind w:left="35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DF495D6">
      <w:start w:val="1"/>
      <w:numFmt w:val="bullet"/>
      <w:lvlText w:val="▪"/>
      <w:lvlJc w:val="left"/>
      <w:pPr>
        <w:ind w:left="4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A706333C">
      <w:start w:val="1"/>
      <w:numFmt w:val="bullet"/>
      <w:lvlText w:val="•"/>
      <w:lvlJc w:val="left"/>
      <w:pPr>
        <w:ind w:left="495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042F4C4">
      <w:start w:val="1"/>
      <w:numFmt w:val="bullet"/>
      <w:lvlText w:val="o"/>
      <w:lvlJc w:val="left"/>
      <w:pPr>
        <w:ind w:left="567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7C03B86">
      <w:start w:val="1"/>
      <w:numFmt w:val="bullet"/>
      <w:lvlText w:val="▪"/>
      <w:lvlJc w:val="left"/>
      <w:pPr>
        <w:ind w:left="6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68D8799D"/>
    <w:multiLevelType w:val="hybridMultilevel"/>
    <w:tmpl w:val="87322D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8DA43C0"/>
    <w:multiLevelType w:val="hybridMultilevel"/>
    <w:tmpl w:val="1B0C22BA"/>
    <w:lvl w:ilvl="0" w:tplc="A3D6D822">
      <w:start w:val="1"/>
      <w:numFmt w:val="bullet"/>
      <w:lvlText w:val="-"/>
      <w:lvlJc w:val="left"/>
      <w:pPr>
        <w:ind w:left="720" w:hanging="360"/>
      </w:pPr>
      <w:rPr>
        <w:rFonts w:ascii="Garamond" w:eastAsia="Verdana" w:hAnsi="Garamond" w:cs="Verdana"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D5B10BA"/>
    <w:multiLevelType w:val="hybridMultilevel"/>
    <w:tmpl w:val="98ACA694"/>
    <w:lvl w:ilvl="0" w:tplc="88C470A4">
      <w:start w:val="1"/>
      <w:numFmt w:val="bullet"/>
      <w:lvlText w:val="-"/>
      <w:lvlJc w:val="left"/>
      <w:pPr>
        <w:ind w:left="108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D900B53"/>
    <w:multiLevelType w:val="multilevel"/>
    <w:tmpl w:val="D2BAC2B6"/>
    <w:lvl w:ilvl="0">
      <w:start w:val="1"/>
      <w:numFmt w:val="bullet"/>
      <w:lvlText w:val="-"/>
      <w:lvlJc w:val="left"/>
      <w:pPr>
        <w:ind w:left="72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E0929A9"/>
    <w:multiLevelType w:val="hybridMultilevel"/>
    <w:tmpl w:val="E6C6BF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59B1583"/>
    <w:multiLevelType w:val="multilevel"/>
    <w:tmpl w:val="13A60ECA"/>
    <w:lvl w:ilvl="0">
      <w:numFmt w:val="bullet"/>
      <w:lvlText w:val="-"/>
      <w:lvlJc w:val="left"/>
      <w:pPr>
        <w:ind w:left="720" w:hanging="360"/>
      </w:pPr>
      <w:rPr>
        <w:rFonts w:ascii="Arial" w:eastAsia="Calibri" w:hAnsi="Arial" w:cs="Arial" w:hint="default"/>
        <w:color w:val="auto"/>
      </w:rPr>
    </w:lvl>
    <w:lvl w:ilvl="1">
      <w:start w:val="1"/>
      <w:numFmt w:val="bullet"/>
      <w:lvlText w:val="o"/>
      <w:lvlJc w:val="left"/>
      <w:pPr>
        <w:tabs>
          <w:tab w:val="num" w:pos="1440"/>
        </w:tabs>
        <w:ind w:left="1440" w:hanging="360"/>
      </w:pPr>
      <w:rPr>
        <w:rFonts w:ascii="Courier New" w:hAnsi="Courier New" w:hint="default"/>
        <w:sz w:val="20"/>
      </w:rPr>
    </w:lvl>
    <w:lvl w:ilvl="2">
      <w:start w:val="8"/>
      <w:numFmt w:val="decimal"/>
      <w:lvlText w:val="%3."/>
      <w:lvlJc w:val="left"/>
      <w:pPr>
        <w:ind w:left="2160" w:hanging="360"/>
      </w:pPr>
      <w:rPr>
        <w:rFonts w:hint="default"/>
        <w:color w:val="auto"/>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6BF56CD"/>
    <w:multiLevelType w:val="multilevel"/>
    <w:tmpl w:val="53FC5656"/>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0" w15:restartNumberingAfterBreak="0">
    <w:nsid w:val="76E049B2"/>
    <w:multiLevelType w:val="hybridMultilevel"/>
    <w:tmpl w:val="C5B410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EB95BE6"/>
    <w:multiLevelType w:val="multilevel"/>
    <w:tmpl w:val="B5FE4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F74623C"/>
    <w:multiLevelType w:val="multilevel"/>
    <w:tmpl w:val="603A181E"/>
    <w:lvl w:ilvl="0">
      <w:start w:val="1"/>
      <w:numFmt w:val="decimal"/>
      <w:pStyle w:val="Estilo1TituloEstudiodelsecto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rPr>
        <w:b/>
        <w:bCs/>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14002090">
    <w:abstractNumId w:val="42"/>
  </w:num>
  <w:num w:numId="2" w16cid:durableId="7999993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09306027">
    <w:abstractNumId w:val="37"/>
  </w:num>
  <w:num w:numId="4" w16cid:durableId="811559507">
    <w:abstractNumId w:val="33"/>
  </w:num>
  <w:num w:numId="5" w16cid:durableId="1882932882">
    <w:abstractNumId w:val="3"/>
  </w:num>
  <w:num w:numId="6" w16cid:durableId="27506687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5004878">
    <w:abstractNumId w:val="19"/>
  </w:num>
  <w:num w:numId="8" w16cid:durableId="905996804">
    <w:abstractNumId w:val="27"/>
  </w:num>
  <w:num w:numId="9" w16cid:durableId="1798445924">
    <w:abstractNumId w:val="7"/>
  </w:num>
  <w:num w:numId="10" w16cid:durableId="1908412725">
    <w:abstractNumId w:val="14"/>
  </w:num>
  <w:num w:numId="11" w16cid:durableId="1898740380">
    <w:abstractNumId w:val="38"/>
  </w:num>
  <w:num w:numId="12" w16cid:durableId="128742976">
    <w:abstractNumId w:val="10"/>
  </w:num>
  <w:num w:numId="13" w16cid:durableId="1170828752">
    <w:abstractNumId w:val="34"/>
  </w:num>
  <w:num w:numId="14" w16cid:durableId="746222298">
    <w:abstractNumId w:val="12"/>
  </w:num>
  <w:num w:numId="15" w16cid:durableId="781193303">
    <w:abstractNumId w:val="13"/>
  </w:num>
  <w:num w:numId="16" w16cid:durableId="341399747">
    <w:abstractNumId w:val="9"/>
  </w:num>
  <w:num w:numId="17" w16cid:durableId="503016370">
    <w:abstractNumId w:val="18"/>
  </w:num>
  <w:num w:numId="18" w16cid:durableId="402142769">
    <w:abstractNumId w:val="32"/>
  </w:num>
  <w:num w:numId="19" w16cid:durableId="209614749">
    <w:abstractNumId w:val="15"/>
  </w:num>
  <w:num w:numId="20" w16cid:durableId="507600281">
    <w:abstractNumId w:val="41"/>
  </w:num>
  <w:num w:numId="21" w16cid:durableId="1610089957">
    <w:abstractNumId w:val="36"/>
  </w:num>
  <w:num w:numId="22" w16cid:durableId="245921567">
    <w:abstractNumId w:val="26"/>
  </w:num>
  <w:num w:numId="23" w16cid:durableId="1670207718">
    <w:abstractNumId w:val="35"/>
  </w:num>
  <w:num w:numId="24" w16cid:durableId="1510099816">
    <w:abstractNumId w:val="16"/>
  </w:num>
  <w:num w:numId="25" w16cid:durableId="1764642969">
    <w:abstractNumId w:val="23"/>
  </w:num>
  <w:num w:numId="26" w16cid:durableId="986057870">
    <w:abstractNumId w:val="5"/>
  </w:num>
  <w:num w:numId="27" w16cid:durableId="812285617">
    <w:abstractNumId w:val="39"/>
  </w:num>
  <w:num w:numId="28" w16cid:durableId="709035042">
    <w:abstractNumId w:val="20"/>
  </w:num>
  <w:num w:numId="29" w16cid:durableId="447435300">
    <w:abstractNumId w:val="24"/>
  </w:num>
  <w:num w:numId="30" w16cid:durableId="196234806">
    <w:abstractNumId w:val="11"/>
  </w:num>
  <w:num w:numId="31" w16cid:durableId="285166523">
    <w:abstractNumId w:val="2"/>
  </w:num>
  <w:num w:numId="32" w16cid:durableId="1465345990">
    <w:abstractNumId w:val="8"/>
  </w:num>
  <w:num w:numId="33" w16cid:durableId="2043438187">
    <w:abstractNumId w:val="0"/>
  </w:num>
  <w:num w:numId="34" w16cid:durableId="2133863567">
    <w:abstractNumId w:val="21"/>
  </w:num>
  <w:num w:numId="35" w16cid:durableId="1771856191">
    <w:abstractNumId w:val="30"/>
  </w:num>
  <w:num w:numId="36" w16cid:durableId="230312800">
    <w:abstractNumId w:val="29"/>
  </w:num>
  <w:num w:numId="37" w16cid:durableId="541944476">
    <w:abstractNumId w:val="6"/>
  </w:num>
  <w:num w:numId="38" w16cid:durableId="148912255">
    <w:abstractNumId w:val="4"/>
  </w:num>
  <w:num w:numId="39" w16cid:durableId="869689087">
    <w:abstractNumId w:val="28"/>
  </w:num>
  <w:num w:numId="40" w16cid:durableId="271131728">
    <w:abstractNumId w:val="22"/>
  </w:num>
  <w:num w:numId="41" w16cid:durableId="451902454">
    <w:abstractNumId w:val="40"/>
  </w:num>
  <w:num w:numId="42" w16cid:durableId="543295445">
    <w:abstractNumId w:val="17"/>
  </w:num>
  <w:num w:numId="43" w16cid:durableId="1115442920">
    <w:abstractNumId w:val="1"/>
  </w:num>
  <w:num w:numId="44" w16cid:durableId="776367623">
    <w:abstractNumId w:val="31"/>
  </w:num>
  <w:num w:numId="45" w16cid:durableId="2053727127">
    <w:abstractNumId w:val="25"/>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bian Oswaldo Arcos Munoz">
    <w15:presenceInfo w15:providerId="AD" w15:userId="S::fabian.arcos@gobiernobogota.gov.co::6a0487ed-ff7e-4a41-9c7f-f57bb28a1b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16B"/>
    <w:rsid w:val="0000119A"/>
    <w:rsid w:val="00002067"/>
    <w:rsid w:val="00002461"/>
    <w:rsid w:val="00002EB3"/>
    <w:rsid w:val="00004D36"/>
    <w:rsid w:val="00004EED"/>
    <w:rsid w:val="00005E5F"/>
    <w:rsid w:val="00017F20"/>
    <w:rsid w:val="000208BD"/>
    <w:rsid w:val="00022190"/>
    <w:rsid w:val="00031E1B"/>
    <w:rsid w:val="000325DA"/>
    <w:rsid w:val="00035064"/>
    <w:rsid w:val="0004111E"/>
    <w:rsid w:val="00050ED1"/>
    <w:rsid w:val="000535DC"/>
    <w:rsid w:val="00053893"/>
    <w:rsid w:val="00057CBC"/>
    <w:rsid w:val="000645D9"/>
    <w:rsid w:val="000653C8"/>
    <w:rsid w:val="00066AE5"/>
    <w:rsid w:val="000769AA"/>
    <w:rsid w:val="00077FEF"/>
    <w:rsid w:val="000803B7"/>
    <w:rsid w:val="000841FC"/>
    <w:rsid w:val="000847B9"/>
    <w:rsid w:val="00085663"/>
    <w:rsid w:val="0008567A"/>
    <w:rsid w:val="00090EEE"/>
    <w:rsid w:val="00092D01"/>
    <w:rsid w:val="00096E68"/>
    <w:rsid w:val="000A1248"/>
    <w:rsid w:val="000A252D"/>
    <w:rsid w:val="000A3712"/>
    <w:rsid w:val="000A39D3"/>
    <w:rsid w:val="000A3A43"/>
    <w:rsid w:val="000B1479"/>
    <w:rsid w:val="000B251A"/>
    <w:rsid w:val="000B465B"/>
    <w:rsid w:val="000B569F"/>
    <w:rsid w:val="000B6008"/>
    <w:rsid w:val="000B7ED1"/>
    <w:rsid w:val="000C0651"/>
    <w:rsid w:val="000C2A86"/>
    <w:rsid w:val="000C3A84"/>
    <w:rsid w:val="000C5848"/>
    <w:rsid w:val="000D647F"/>
    <w:rsid w:val="000D6F11"/>
    <w:rsid w:val="000E0C1C"/>
    <w:rsid w:val="000E4DCE"/>
    <w:rsid w:val="000E6400"/>
    <w:rsid w:val="000F3770"/>
    <w:rsid w:val="000F3EE5"/>
    <w:rsid w:val="000F5FC2"/>
    <w:rsid w:val="000F7175"/>
    <w:rsid w:val="00103F98"/>
    <w:rsid w:val="00106BD2"/>
    <w:rsid w:val="00117CB2"/>
    <w:rsid w:val="00120B22"/>
    <w:rsid w:val="00123B26"/>
    <w:rsid w:val="0013008F"/>
    <w:rsid w:val="00132240"/>
    <w:rsid w:val="00132F96"/>
    <w:rsid w:val="0013372D"/>
    <w:rsid w:val="0013408A"/>
    <w:rsid w:val="001371D4"/>
    <w:rsid w:val="00141757"/>
    <w:rsid w:val="001425DD"/>
    <w:rsid w:val="0015585A"/>
    <w:rsid w:val="001774F7"/>
    <w:rsid w:val="00177DC5"/>
    <w:rsid w:val="00180C5E"/>
    <w:rsid w:val="0018148A"/>
    <w:rsid w:val="00181D17"/>
    <w:rsid w:val="001822C6"/>
    <w:rsid w:val="001839A3"/>
    <w:rsid w:val="00184D49"/>
    <w:rsid w:val="001877C5"/>
    <w:rsid w:val="0019573A"/>
    <w:rsid w:val="00195ADD"/>
    <w:rsid w:val="00197616"/>
    <w:rsid w:val="001A0216"/>
    <w:rsid w:val="001A3971"/>
    <w:rsid w:val="001B0D29"/>
    <w:rsid w:val="001B541B"/>
    <w:rsid w:val="001B5E74"/>
    <w:rsid w:val="001C0A9C"/>
    <w:rsid w:val="001C1677"/>
    <w:rsid w:val="001C2E3E"/>
    <w:rsid w:val="001C3020"/>
    <w:rsid w:val="001C3879"/>
    <w:rsid w:val="001C40ED"/>
    <w:rsid w:val="001C5494"/>
    <w:rsid w:val="001D387A"/>
    <w:rsid w:val="001D5AD9"/>
    <w:rsid w:val="001E2D25"/>
    <w:rsid w:val="001E49D4"/>
    <w:rsid w:val="001E55CA"/>
    <w:rsid w:val="001F32AB"/>
    <w:rsid w:val="001F71FB"/>
    <w:rsid w:val="001F72EA"/>
    <w:rsid w:val="00200EEB"/>
    <w:rsid w:val="00201B29"/>
    <w:rsid w:val="00202C88"/>
    <w:rsid w:val="002030E1"/>
    <w:rsid w:val="00203285"/>
    <w:rsid w:val="002063C9"/>
    <w:rsid w:val="002135B8"/>
    <w:rsid w:val="002137AF"/>
    <w:rsid w:val="0021755C"/>
    <w:rsid w:val="00217E44"/>
    <w:rsid w:val="00221CA8"/>
    <w:rsid w:val="002226EE"/>
    <w:rsid w:val="00223EB4"/>
    <w:rsid w:val="00224314"/>
    <w:rsid w:val="002249F3"/>
    <w:rsid w:val="002264EA"/>
    <w:rsid w:val="00226595"/>
    <w:rsid w:val="00231762"/>
    <w:rsid w:val="0023194D"/>
    <w:rsid w:val="002324AB"/>
    <w:rsid w:val="002351E5"/>
    <w:rsid w:val="002376A7"/>
    <w:rsid w:val="002446A5"/>
    <w:rsid w:val="00245F8D"/>
    <w:rsid w:val="00251355"/>
    <w:rsid w:val="00252BE4"/>
    <w:rsid w:val="00252CD7"/>
    <w:rsid w:val="00252DCF"/>
    <w:rsid w:val="002534E4"/>
    <w:rsid w:val="00254F86"/>
    <w:rsid w:val="00257E44"/>
    <w:rsid w:val="00260048"/>
    <w:rsid w:val="0026134D"/>
    <w:rsid w:val="00265ADF"/>
    <w:rsid w:val="00267123"/>
    <w:rsid w:val="00270133"/>
    <w:rsid w:val="00272ECF"/>
    <w:rsid w:val="0027360B"/>
    <w:rsid w:val="002747BA"/>
    <w:rsid w:val="00275340"/>
    <w:rsid w:val="00276FF5"/>
    <w:rsid w:val="00277867"/>
    <w:rsid w:val="00282256"/>
    <w:rsid w:val="002844F5"/>
    <w:rsid w:val="00284E44"/>
    <w:rsid w:val="002879D0"/>
    <w:rsid w:val="00290907"/>
    <w:rsid w:val="00295F6B"/>
    <w:rsid w:val="002A09C2"/>
    <w:rsid w:val="002A0BA2"/>
    <w:rsid w:val="002A0D12"/>
    <w:rsid w:val="002A3C53"/>
    <w:rsid w:val="002A7E9A"/>
    <w:rsid w:val="002B19CD"/>
    <w:rsid w:val="002B5715"/>
    <w:rsid w:val="002B6CF7"/>
    <w:rsid w:val="002B7592"/>
    <w:rsid w:val="002C0F08"/>
    <w:rsid w:val="002C797F"/>
    <w:rsid w:val="002D1210"/>
    <w:rsid w:val="002D5DC5"/>
    <w:rsid w:val="002E012D"/>
    <w:rsid w:val="002E1888"/>
    <w:rsid w:val="002E27DC"/>
    <w:rsid w:val="002E3610"/>
    <w:rsid w:val="002E4595"/>
    <w:rsid w:val="002E6AB6"/>
    <w:rsid w:val="002E6C90"/>
    <w:rsid w:val="002E74B7"/>
    <w:rsid w:val="002F145D"/>
    <w:rsid w:val="002F19C3"/>
    <w:rsid w:val="002F593F"/>
    <w:rsid w:val="002F6400"/>
    <w:rsid w:val="002F7D3C"/>
    <w:rsid w:val="0030086E"/>
    <w:rsid w:val="00300AEC"/>
    <w:rsid w:val="00301537"/>
    <w:rsid w:val="00302EBD"/>
    <w:rsid w:val="00305D22"/>
    <w:rsid w:val="003100D5"/>
    <w:rsid w:val="00314B5E"/>
    <w:rsid w:val="003152F6"/>
    <w:rsid w:val="00316B38"/>
    <w:rsid w:val="003220BE"/>
    <w:rsid w:val="003236D1"/>
    <w:rsid w:val="00324A90"/>
    <w:rsid w:val="00325EE4"/>
    <w:rsid w:val="0032721C"/>
    <w:rsid w:val="00330BB4"/>
    <w:rsid w:val="00331402"/>
    <w:rsid w:val="00336D92"/>
    <w:rsid w:val="0034116B"/>
    <w:rsid w:val="00342089"/>
    <w:rsid w:val="00342AD0"/>
    <w:rsid w:val="00342BFB"/>
    <w:rsid w:val="003431A3"/>
    <w:rsid w:val="00343680"/>
    <w:rsid w:val="00344914"/>
    <w:rsid w:val="00347B25"/>
    <w:rsid w:val="003519C0"/>
    <w:rsid w:val="00352FFE"/>
    <w:rsid w:val="003544C3"/>
    <w:rsid w:val="003577F3"/>
    <w:rsid w:val="00361D3B"/>
    <w:rsid w:val="003623B3"/>
    <w:rsid w:val="00362702"/>
    <w:rsid w:val="003709B4"/>
    <w:rsid w:val="00371747"/>
    <w:rsid w:val="00372FC0"/>
    <w:rsid w:val="00373149"/>
    <w:rsid w:val="003756EE"/>
    <w:rsid w:val="00376034"/>
    <w:rsid w:val="003848CA"/>
    <w:rsid w:val="00384A91"/>
    <w:rsid w:val="003869B6"/>
    <w:rsid w:val="003907AA"/>
    <w:rsid w:val="0039186A"/>
    <w:rsid w:val="003940EB"/>
    <w:rsid w:val="00395C41"/>
    <w:rsid w:val="003A0834"/>
    <w:rsid w:val="003A088B"/>
    <w:rsid w:val="003A3C32"/>
    <w:rsid w:val="003A5450"/>
    <w:rsid w:val="003A5570"/>
    <w:rsid w:val="003B0CCA"/>
    <w:rsid w:val="003B1284"/>
    <w:rsid w:val="003B1741"/>
    <w:rsid w:val="003B3AB4"/>
    <w:rsid w:val="003B3B77"/>
    <w:rsid w:val="003B454F"/>
    <w:rsid w:val="003B5042"/>
    <w:rsid w:val="003C01FC"/>
    <w:rsid w:val="003C0EAC"/>
    <w:rsid w:val="003C69CF"/>
    <w:rsid w:val="003C719B"/>
    <w:rsid w:val="003C7491"/>
    <w:rsid w:val="003C7B64"/>
    <w:rsid w:val="003D43C8"/>
    <w:rsid w:val="003D6AFD"/>
    <w:rsid w:val="003E65C3"/>
    <w:rsid w:val="003F0BC3"/>
    <w:rsid w:val="003F18A4"/>
    <w:rsid w:val="003F2E72"/>
    <w:rsid w:val="003F4276"/>
    <w:rsid w:val="00400233"/>
    <w:rsid w:val="004054AA"/>
    <w:rsid w:val="004103B5"/>
    <w:rsid w:val="00414DA5"/>
    <w:rsid w:val="0041609C"/>
    <w:rsid w:val="00416182"/>
    <w:rsid w:val="00416252"/>
    <w:rsid w:val="00417AAF"/>
    <w:rsid w:val="00427D08"/>
    <w:rsid w:val="00430A8C"/>
    <w:rsid w:val="00431C2D"/>
    <w:rsid w:val="00437D52"/>
    <w:rsid w:val="00453BDF"/>
    <w:rsid w:val="00453F0E"/>
    <w:rsid w:val="004542A0"/>
    <w:rsid w:val="00454DAA"/>
    <w:rsid w:val="004557C8"/>
    <w:rsid w:val="0046288E"/>
    <w:rsid w:val="004635B3"/>
    <w:rsid w:val="00465ADA"/>
    <w:rsid w:val="004677CA"/>
    <w:rsid w:val="0047191A"/>
    <w:rsid w:val="00474C6F"/>
    <w:rsid w:val="00480015"/>
    <w:rsid w:val="0048529F"/>
    <w:rsid w:val="00486912"/>
    <w:rsid w:val="00486966"/>
    <w:rsid w:val="00486FDC"/>
    <w:rsid w:val="00487C68"/>
    <w:rsid w:val="0049235A"/>
    <w:rsid w:val="00492EFF"/>
    <w:rsid w:val="0049469E"/>
    <w:rsid w:val="00495260"/>
    <w:rsid w:val="00495815"/>
    <w:rsid w:val="004A1113"/>
    <w:rsid w:val="004B1306"/>
    <w:rsid w:val="004B40E0"/>
    <w:rsid w:val="004B566B"/>
    <w:rsid w:val="004B5F76"/>
    <w:rsid w:val="004D0659"/>
    <w:rsid w:val="004D3D35"/>
    <w:rsid w:val="004D4F1B"/>
    <w:rsid w:val="004D7A29"/>
    <w:rsid w:val="004E1821"/>
    <w:rsid w:val="004E1DE1"/>
    <w:rsid w:val="004E2D0B"/>
    <w:rsid w:val="004E6A38"/>
    <w:rsid w:val="004E7419"/>
    <w:rsid w:val="004F0022"/>
    <w:rsid w:val="004F02C1"/>
    <w:rsid w:val="004F10E5"/>
    <w:rsid w:val="004F2255"/>
    <w:rsid w:val="004F3E83"/>
    <w:rsid w:val="004F4BE5"/>
    <w:rsid w:val="004F64CA"/>
    <w:rsid w:val="00500B87"/>
    <w:rsid w:val="00501B27"/>
    <w:rsid w:val="00501E95"/>
    <w:rsid w:val="00504A44"/>
    <w:rsid w:val="00510F2D"/>
    <w:rsid w:val="0051430F"/>
    <w:rsid w:val="0051548A"/>
    <w:rsid w:val="00516121"/>
    <w:rsid w:val="0052191A"/>
    <w:rsid w:val="0052369A"/>
    <w:rsid w:val="00523ADE"/>
    <w:rsid w:val="0052416B"/>
    <w:rsid w:val="005247C0"/>
    <w:rsid w:val="005270CC"/>
    <w:rsid w:val="00527140"/>
    <w:rsid w:val="00527FEE"/>
    <w:rsid w:val="00531813"/>
    <w:rsid w:val="00535DB2"/>
    <w:rsid w:val="00536080"/>
    <w:rsid w:val="00536E51"/>
    <w:rsid w:val="00537E0C"/>
    <w:rsid w:val="00537ED2"/>
    <w:rsid w:val="00540517"/>
    <w:rsid w:val="00541DFB"/>
    <w:rsid w:val="005427B3"/>
    <w:rsid w:val="0054450A"/>
    <w:rsid w:val="0054551D"/>
    <w:rsid w:val="00557215"/>
    <w:rsid w:val="00560C18"/>
    <w:rsid w:val="00562A92"/>
    <w:rsid w:val="00564F32"/>
    <w:rsid w:val="005668DB"/>
    <w:rsid w:val="00570470"/>
    <w:rsid w:val="00573DA3"/>
    <w:rsid w:val="005754D7"/>
    <w:rsid w:val="00576501"/>
    <w:rsid w:val="0058291E"/>
    <w:rsid w:val="00582E96"/>
    <w:rsid w:val="005856D9"/>
    <w:rsid w:val="0058604A"/>
    <w:rsid w:val="0059069D"/>
    <w:rsid w:val="005928AD"/>
    <w:rsid w:val="00594BF6"/>
    <w:rsid w:val="005971C8"/>
    <w:rsid w:val="00597AA0"/>
    <w:rsid w:val="005A09D8"/>
    <w:rsid w:val="005B0022"/>
    <w:rsid w:val="005B77FD"/>
    <w:rsid w:val="005C1E8C"/>
    <w:rsid w:val="005C2D51"/>
    <w:rsid w:val="005C7F40"/>
    <w:rsid w:val="005D23B6"/>
    <w:rsid w:val="005D31BD"/>
    <w:rsid w:val="005D5CA0"/>
    <w:rsid w:val="005E4D5E"/>
    <w:rsid w:val="005E5A46"/>
    <w:rsid w:val="005E6FBF"/>
    <w:rsid w:val="005F12F6"/>
    <w:rsid w:val="005F2821"/>
    <w:rsid w:val="005F28E6"/>
    <w:rsid w:val="005F564C"/>
    <w:rsid w:val="005F74FC"/>
    <w:rsid w:val="00600D71"/>
    <w:rsid w:val="006037A9"/>
    <w:rsid w:val="00606582"/>
    <w:rsid w:val="00606DE7"/>
    <w:rsid w:val="00607202"/>
    <w:rsid w:val="00610208"/>
    <w:rsid w:val="006136F2"/>
    <w:rsid w:val="00622BE7"/>
    <w:rsid w:val="00631F38"/>
    <w:rsid w:val="006338C9"/>
    <w:rsid w:val="00634BEA"/>
    <w:rsid w:val="00635AE5"/>
    <w:rsid w:val="00635F27"/>
    <w:rsid w:val="00637BE0"/>
    <w:rsid w:val="00644315"/>
    <w:rsid w:val="00645236"/>
    <w:rsid w:val="0064549B"/>
    <w:rsid w:val="00645A73"/>
    <w:rsid w:val="00651CE9"/>
    <w:rsid w:val="006556AB"/>
    <w:rsid w:val="006558DE"/>
    <w:rsid w:val="0066466C"/>
    <w:rsid w:val="0066582B"/>
    <w:rsid w:val="00666B4B"/>
    <w:rsid w:val="00670BD5"/>
    <w:rsid w:val="006750F2"/>
    <w:rsid w:val="00676051"/>
    <w:rsid w:val="006778F0"/>
    <w:rsid w:val="006817B4"/>
    <w:rsid w:val="00682CE3"/>
    <w:rsid w:val="0068736A"/>
    <w:rsid w:val="00691014"/>
    <w:rsid w:val="00691F8D"/>
    <w:rsid w:val="0069396A"/>
    <w:rsid w:val="00694175"/>
    <w:rsid w:val="00696C1A"/>
    <w:rsid w:val="00696F47"/>
    <w:rsid w:val="00697E68"/>
    <w:rsid w:val="006A785B"/>
    <w:rsid w:val="006A7D30"/>
    <w:rsid w:val="006B0564"/>
    <w:rsid w:val="006B35FC"/>
    <w:rsid w:val="006C5FC7"/>
    <w:rsid w:val="006C62D8"/>
    <w:rsid w:val="006D054F"/>
    <w:rsid w:val="006D2EE6"/>
    <w:rsid w:val="006D2F5D"/>
    <w:rsid w:val="006D3D75"/>
    <w:rsid w:val="006D6BB2"/>
    <w:rsid w:val="006E069F"/>
    <w:rsid w:val="006E0CA5"/>
    <w:rsid w:val="006E62E9"/>
    <w:rsid w:val="006E75D1"/>
    <w:rsid w:val="006F39D8"/>
    <w:rsid w:val="006F4FF5"/>
    <w:rsid w:val="006F61C0"/>
    <w:rsid w:val="0070304A"/>
    <w:rsid w:val="007073A7"/>
    <w:rsid w:val="00710B6F"/>
    <w:rsid w:val="0072119C"/>
    <w:rsid w:val="00727E5E"/>
    <w:rsid w:val="00742857"/>
    <w:rsid w:val="0074560A"/>
    <w:rsid w:val="00753014"/>
    <w:rsid w:val="00754F1B"/>
    <w:rsid w:val="00754FFB"/>
    <w:rsid w:val="00756533"/>
    <w:rsid w:val="00757E56"/>
    <w:rsid w:val="007608A6"/>
    <w:rsid w:val="007663DA"/>
    <w:rsid w:val="00770489"/>
    <w:rsid w:val="007718A4"/>
    <w:rsid w:val="00771A8A"/>
    <w:rsid w:val="00771D02"/>
    <w:rsid w:val="00774472"/>
    <w:rsid w:val="00775D8A"/>
    <w:rsid w:val="00776F0A"/>
    <w:rsid w:val="00780A3C"/>
    <w:rsid w:val="00780DDB"/>
    <w:rsid w:val="00792CD2"/>
    <w:rsid w:val="00793F26"/>
    <w:rsid w:val="00795877"/>
    <w:rsid w:val="00795C37"/>
    <w:rsid w:val="00795CE2"/>
    <w:rsid w:val="007A063C"/>
    <w:rsid w:val="007A59A9"/>
    <w:rsid w:val="007A7671"/>
    <w:rsid w:val="007B09E4"/>
    <w:rsid w:val="007B3DAB"/>
    <w:rsid w:val="007B74D7"/>
    <w:rsid w:val="007C0B73"/>
    <w:rsid w:val="007C2246"/>
    <w:rsid w:val="007C410A"/>
    <w:rsid w:val="007D11D1"/>
    <w:rsid w:val="007D1754"/>
    <w:rsid w:val="007D1917"/>
    <w:rsid w:val="007D2B49"/>
    <w:rsid w:val="007D3E06"/>
    <w:rsid w:val="007D4118"/>
    <w:rsid w:val="007D577B"/>
    <w:rsid w:val="007D5A71"/>
    <w:rsid w:val="007E2E0F"/>
    <w:rsid w:val="007E5F03"/>
    <w:rsid w:val="007E7A58"/>
    <w:rsid w:val="007F0DF4"/>
    <w:rsid w:val="007F2CAB"/>
    <w:rsid w:val="007F6851"/>
    <w:rsid w:val="007F7C02"/>
    <w:rsid w:val="008027EB"/>
    <w:rsid w:val="0080360F"/>
    <w:rsid w:val="00803FC5"/>
    <w:rsid w:val="00804D22"/>
    <w:rsid w:val="00805E55"/>
    <w:rsid w:val="00806BAA"/>
    <w:rsid w:val="00810740"/>
    <w:rsid w:val="00813A60"/>
    <w:rsid w:val="00816112"/>
    <w:rsid w:val="00821BF6"/>
    <w:rsid w:val="00834D80"/>
    <w:rsid w:val="0083683C"/>
    <w:rsid w:val="008374D5"/>
    <w:rsid w:val="00841E04"/>
    <w:rsid w:val="008427A6"/>
    <w:rsid w:val="0084645C"/>
    <w:rsid w:val="00846AF4"/>
    <w:rsid w:val="00846C8E"/>
    <w:rsid w:val="00852FFE"/>
    <w:rsid w:val="00853394"/>
    <w:rsid w:val="00861045"/>
    <w:rsid w:val="00861104"/>
    <w:rsid w:val="00862DF0"/>
    <w:rsid w:val="008637A6"/>
    <w:rsid w:val="008652D0"/>
    <w:rsid w:val="0086552D"/>
    <w:rsid w:val="00865C1F"/>
    <w:rsid w:val="00865CBA"/>
    <w:rsid w:val="0086760A"/>
    <w:rsid w:val="008762B8"/>
    <w:rsid w:val="00877BA0"/>
    <w:rsid w:val="00877D9E"/>
    <w:rsid w:val="008822CB"/>
    <w:rsid w:val="00884B6C"/>
    <w:rsid w:val="00886FFF"/>
    <w:rsid w:val="00890809"/>
    <w:rsid w:val="00894E91"/>
    <w:rsid w:val="00896567"/>
    <w:rsid w:val="0089676D"/>
    <w:rsid w:val="00897A4D"/>
    <w:rsid w:val="00897BAC"/>
    <w:rsid w:val="008A24DF"/>
    <w:rsid w:val="008A33A5"/>
    <w:rsid w:val="008A4EAC"/>
    <w:rsid w:val="008A5FCD"/>
    <w:rsid w:val="008B14CE"/>
    <w:rsid w:val="008B2D9A"/>
    <w:rsid w:val="008B535C"/>
    <w:rsid w:val="008B54A7"/>
    <w:rsid w:val="008C6046"/>
    <w:rsid w:val="008C62F9"/>
    <w:rsid w:val="008D1946"/>
    <w:rsid w:val="008D5212"/>
    <w:rsid w:val="008D579A"/>
    <w:rsid w:val="008D7513"/>
    <w:rsid w:val="008D7F4E"/>
    <w:rsid w:val="008E060A"/>
    <w:rsid w:val="008E1085"/>
    <w:rsid w:val="008E301A"/>
    <w:rsid w:val="008F083A"/>
    <w:rsid w:val="008F0BC7"/>
    <w:rsid w:val="00900065"/>
    <w:rsid w:val="0090082C"/>
    <w:rsid w:val="009124B6"/>
    <w:rsid w:val="00913BDF"/>
    <w:rsid w:val="009152EA"/>
    <w:rsid w:val="00920A55"/>
    <w:rsid w:val="00922759"/>
    <w:rsid w:val="00924349"/>
    <w:rsid w:val="009267EA"/>
    <w:rsid w:val="00927BD5"/>
    <w:rsid w:val="00931302"/>
    <w:rsid w:val="009354FF"/>
    <w:rsid w:val="00935AC9"/>
    <w:rsid w:val="00940DD7"/>
    <w:rsid w:val="00942A3F"/>
    <w:rsid w:val="0094395E"/>
    <w:rsid w:val="00944DE1"/>
    <w:rsid w:val="0095605C"/>
    <w:rsid w:val="00961ECD"/>
    <w:rsid w:val="009646BC"/>
    <w:rsid w:val="0096525F"/>
    <w:rsid w:val="0096598B"/>
    <w:rsid w:val="00976A7F"/>
    <w:rsid w:val="00980130"/>
    <w:rsid w:val="00980591"/>
    <w:rsid w:val="00981E3B"/>
    <w:rsid w:val="00983394"/>
    <w:rsid w:val="009838DB"/>
    <w:rsid w:val="00985C07"/>
    <w:rsid w:val="009872BC"/>
    <w:rsid w:val="00993118"/>
    <w:rsid w:val="009935B8"/>
    <w:rsid w:val="00994A1E"/>
    <w:rsid w:val="00994E29"/>
    <w:rsid w:val="00995133"/>
    <w:rsid w:val="0099597C"/>
    <w:rsid w:val="009A028D"/>
    <w:rsid w:val="009A285A"/>
    <w:rsid w:val="009A3323"/>
    <w:rsid w:val="009A38DB"/>
    <w:rsid w:val="009A56D3"/>
    <w:rsid w:val="009A645E"/>
    <w:rsid w:val="009A738B"/>
    <w:rsid w:val="009B01EB"/>
    <w:rsid w:val="009B3947"/>
    <w:rsid w:val="009B7A5D"/>
    <w:rsid w:val="009C0E85"/>
    <w:rsid w:val="009C3D1C"/>
    <w:rsid w:val="009C465F"/>
    <w:rsid w:val="009C5CF1"/>
    <w:rsid w:val="009D0B46"/>
    <w:rsid w:val="009D1C28"/>
    <w:rsid w:val="009D21C3"/>
    <w:rsid w:val="009D45EC"/>
    <w:rsid w:val="009D4E46"/>
    <w:rsid w:val="009E0086"/>
    <w:rsid w:val="009E1A80"/>
    <w:rsid w:val="009E1FDB"/>
    <w:rsid w:val="009E3D6F"/>
    <w:rsid w:val="009E416D"/>
    <w:rsid w:val="009E554D"/>
    <w:rsid w:val="009E57C3"/>
    <w:rsid w:val="009E770B"/>
    <w:rsid w:val="009F03DA"/>
    <w:rsid w:val="009F2EE7"/>
    <w:rsid w:val="00A07D7C"/>
    <w:rsid w:val="00A1223D"/>
    <w:rsid w:val="00A13A68"/>
    <w:rsid w:val="00A13FDF"/>
    <w:rsid w:val="00A14CEA"/>
    <w:rsid w:val="00A15CAC"/>
    <w:rsid w:val="00A16001"/>
    <w:rsid w:val="00A20A88"/>
    <w:rsid w:val="00A20EBA"/>
    <w:rsid w:val="00A24AB3"/>
    <w:rsid w:val="00A33F75"/>
    <w:rsid w:val="00A4478E"/>
    <w:rsid w:val="00A45E18"/>
    <w:rsid w:val="00A46062"/>
    <w:rsid w:val="00A55939"/>
    <w:rsid w:val="00A57B30"/>
    <w:rsid w:val="00A612C3"/>
    <w:rsid w:val="00A66863"/>
    <w:rsid w:val="00A718DC"/>
    <w:rsid w:val="00A721F2"/>
    <w:rsid w:val="00A7323E"/>
    <w:rsid w:val="00A74C46"/>
    <w:rsid w:val="00A8057A"/>
    <w:rsid w:val="00A8128D"/>
    <w:rsid w:val="00A821C8"/>
    <w:rsid w:val="00A84837"/>
    <w:rsid w:val="00A85C45"/>
    <w:rsid w:val="00A869EE"/>
    <w:rsid w:val="00A87D2F"/>
    <w:rsid w:val="00A907D8"/>
    <w:rsid w:val="00A92261"/>
    <w:rsid w:val="00A938E0"/>
    <w:rsid w:val="00A93A7A"/>
    <w:rsid w:val="00A956AB"/>
    <w:rsid w:val="00AA04AF"/>
    <w:rsid w:val="00AA0CE0"/>
    <w:rsid w:val="00AA1C4B"/>
    <w:rsid w:val="00AA27A7"/>
    <w:rsid w:val="00AA3486"/>
    <w:rsid w:val="00AA4795"/>
    <w:rsid w:val="00AA7084"/>
    <w:rsid w:val="00AB122F"/>
    <w:rsid w:val="00AB2344"/>
    <w:rsid w:val="00AB4E6E"/>
    <w:rsid w:val="00AC1B86"/>
    <w:rsid w:val="00AC3C91"/>
    <w:rsid w:val="00AC6582"/>
    <w:rsid w:val="00AD35C7"/>
    <w:rsid w:val="00AD5483"/>
    <w:rsid w:val="00AD70B1"/>
    <w:rsid w:val="00AD7CFC"/>
    <w:rsid w:val="00AE25B3"/>
    <w:rsid w:val="00AE6F92"/>
    <w:rsid w:val="00AE7FD8"/>
    <w:rsid w:val="00AF1B1B"/>
    <w:rsid w:val="00AF1CC7"/>
    <w:rsid w:val="00AF2061"/>
    <w:rsid w:val="00AF6383"/>
    <w:rsid w:val="00B0140B"/>
    <w:rsid w:val="00B03FBE"/>
    <w:rsid w:val="00B07A64"/>
    <w:rsid w:val="00B1090E"/>
    <w:rsid w:val="00B152D6"/>
    <w:rsid w:val="00B154DF"/>
    <w:rsid w:val="00B22AD8"/>
    <w:rsid w:val="00B26278"/>
    <w:rsid w:val="00B276A5"/>
    <w:rsid w:val="00B31965"/>
    <w:rsid w:val="00B328AF"/>
    <w:rsid w:val="00B34C4C"/>
    <w:rsid w:val="00B36B89"/>
    <w:rsid w:val="00B3772B"/>
    <w:rsid w:val="00B40440"/>
    <w:rsid w:val="00B41725"/>
    <w:rsid w:val="00B433F6"/>
    <w:rsid w:val="00B446F0"/>
    <w:rsid w:val="00B468F4"/>
    <w:rsid w:val="00B46DD9"/>
    <w:rsid w:val="00B474BA"/>
    <w:rsid w:val="00B5180C"/>
    <w:rsid w:val="00B51AD0"/>
    <w:rsid w:val="00B61EDB"/>
    <w:rsid w:val="00B75DDC"/>
    <w:rsid w:val="00B818BF"/>
    <w:rsid w:val="00B8229B"/>
    <w:rsid w:val="00B836D5"/>
    <w:rsid w:val="00B85B6C"/>
    <w:rsid w:val="00B90D63"/>
    <w:rsid w:val="00B91253"/>
    <w:rsid w:val="00B92366"/>
    <w:rsid w:val="00B92F8D"/>
    <w:rsid w:val="00B94294"/>
    <w:rsid w:val="00BA53EF"/>
    <w:rsid w:val="00BB09DB"/>
    <w:rsid w:val="00BB2D74"/>
    <w:rsid w:val="00BC3453"/>
    <w:rsid w:val="00BC34C3"/>
    <w:rsid w:val="00BC3780"/>
    <w:rsid w:val="00BC3A7C"/>
    <w:rsid w:val="00BD0761"/>
    <w:rsid w:val="00BD29D5"/>
    <w:rsid w:val="00BD4190"/>
    <w:rsid w:val="00BD4466"/>
    <w:rsid w:val="00BD6E64"/>
    <w:rsid w:val="00BE1170"/>
    <w:rsid w:val="00BE2CFF"/>
    <w:rsid w:val="00BE5689"/>
    <w:rsid w:val="00BE61C3"/>
    <w:rsid w:val="00BE64FA"/>
    <w:rsid w:val="00BE77EC"/>
    <w:rsid w:val="00BF1D68"/>
    <w:rsid w:val="00BF3416"/>
    <w:rsid w:val="00BF6C26"/>
    <w:rsid w:val="00C015EE"/>
    <w:rsid w:val="00C02808"/>
    <w:rsid w:val="00C02D32"/>
    <w:rsid w:val="00C02FA0"/>
    <w:rsid w:val="00C07078"/>
    <w:rsid w:val="00C0731F"/>
    <w:rsid w:val="00C07C70"/>
    <w:rsid w:val="00C148CB"/>
    <w:rsid w:val="00C16462"/>
    <w:rsid w:val="00C20D19"/>
    <w:rsid w:val="00C307B1"/>
    <w:rsid w:val="00C33173"/>
    <w:rsid w:val="00C35CA8"/>
    <w:rsid w:val="00C4120E"/>
    <w:rsid w:val="00C43FF0"/>
    <w:rsid w:val="00C44BF0"/>
    <w:rsid w:val="00C46EDC"/>
    <w:rsid w:val="00C529B1"/>
    <w:rsid w:val="00C52C6C"/>
    <w:rsid w:val="00C52DBC"/>
    <w:rsid w:val="00C536FB"/>
    <w:rsid w:val="00C6439B"/>
    <w:rsid w:val="00C64E7F"/>
    <w:rsid w:val="00C65592"/>
    <w:rsid w:val="00C65E1D"/>
    <w:rsid w:val="00C663AC"/>
    <w:rsid w:val="00C7086B"/>
    <w:rsid w:val="00C72039"/>
    <w:rsid w:val="00C7298D"/>
    <w:rsid w:val="00C73B52"/>
    <w:rsid w:val="00C73BAB"/>
    <w:rsid w:val="00C75B58"/>
    <w:rsid w:val="00C77DDA"/>
    <w:rsid w:val="00C80D63"/>
    <w:rsid w:val="00C909C1"/>
    <w:rsid w:val="00C95013"/>
    <w:rsid w:val="00C95A56"/>
    <w:rsid w:val="00C979FF"/>
    <w:rsid w:val="00CA1DE8"/>
    <w:rsid w:val="00CA2B02"/>
    <w:rsid w:val="00CA4666"/>
    <w:rsid w:val="00CA6FC8"/>
    <w:rsid w:val="00CB1D2A"/>
    <w:rsid w:val="00CB324C"/>
    <w:rsid w:val="00CB3904"/>
    <w:rsid w:val="00CB46BF"/>
    <w:rsid w:val="00CB61D8"/>
    <w:rsid w:val="00CC1FA6"/>
    <w:rsid w:val="00CC40CE"/>
    <w:rsid w:val="00CD5F8B"/>
    <w:rsid w:val="00CE063D"/>
    <w:rsid w:val="00CE24C9"/>
    <w:rsid w:val="00CE2612"/>
    <w:rsid w:val="00CE3A34"/>
    <w:rsid w:val="00CE563A"/>
    <w:rsid w:val="00CE61E0"/>
    <w:rsid w:val="00CE7695"/>
    <w:rsid w:val="00CF15F3"/>
    <w:rsid w:val="00CF7EA6"/>
    <w:rsid w:val="00D00121"/>
    <w:rsid w:val="00D00347"/>
    <w:rsid w:val="00D0410A"/>
    <w:rsid w:val="00D057BA"/>
    <w:rsid w:val="00D0601B"/>
    <w:rsid w:val="00D14764"/>
    <w:rsid w:val="00D15A60"/>
    <w:rsid w:val="00D1679A"/>
    <w:rsid w:val="00D1769B"/>
    <w:rsid w:val="00D1794A"/>
    <w:rsid w:val="00D24B76"/>
    <w:rsid w:val="00D2504B"/>
    <w:rsid w:val="00D2639E"/>
    <w:rsid w:val="00D2676C"/>
    <w:rsid w:val="00D35880"/>
    <w:rsid w:val="00D3671F"/>
    <w:rsid w:val="00D408AE"/>
    <w:rsid w:val="00D42023"/>
    <w:rsid w:val="00D4426B"/>
    <w:rsid w:val="00D45DFB"/>
    <w:rsid w:val="00D46764"/>
    <w:rsid w:val="00D47A99"/>
    <w:rsid w:val="00D54CAD"/>
    <w:rsid w:val="00D550B2"/>
    <w:rsid w:val="00D551C1"/>
    <w:rsid w:val="00D62A0D"/>
    <w:rsid w:val="00D67D56"/>
    <w:rsid w:val="00D71174"/>
    <w:rsid w:val="00D741A3"/>
    <w:rsid w:val="00D74990"/>
    <w:rsid w:val="00D75AA4"/>
    <w:rsid w:val="00D77D1F"/>
    <w:rsid w:val="00D80106"/>
    <w:rsid w:val="00D8117F"/>
    <w:rsid w:val="00D836EA"/>
    <w:rsid w:val="00D83A03"/>
    <w:rsid w:val="00D84D29"/>
    <w:rsid w:val="00D8719B"/>
    <w:rsid w:val="00D91278"/>
    <w:rsid w:val="00D92D26"/>
    <w:rsid w:val="00D93DCE"/>
    <w:rsid w:val="00D95A3D"/>
    <w:rsid w:val="00D9729C"/>
    <w:rsid w:val="00DA0BCD"/>
    <w:rsid w:val="00DA36F9"/>
    <w:rsid w:val="00DA6B8E"/>
    <w:rsid w:val="00DC30A7"/>
    <w:rsid w:val="00DC6EDF"/>
    <w:rsid w:val="00DC75F1"/>
    <w:rsid w:val="00DD1EA0"/>
    <w:rsid w:val="00DD2D92"/>
    <w:rsid w:val="00DD4009"/>
    <w:rsid w:val="00DD49AD"/>
    <w:rsid w:val="00DE0C6A"/>
    <w:rsid w:val="00DE384B"/>
    <w:rsid w:val="00DE4863"/>
    <w:rsid w:val="00DE61C5"/>
    <w:rsid w:val="00DE6789"/>
    <w:rsid w:val="00DE7B5D"/>
    <w:rsid w:val="00DF0361"/>
    <w:rsid w:val="00DF168A"/>
    <w:rsid w:val="00DF69B9"/>
    <w:rsid w:val="00DF710A"/>
    <w:rsid w:val="00E02236"/>
    <w:rsid w:val="00E0340A"/>
    <w:rsid w:val="00E03BBE"/>
    <w:rsid w:val="00E03F55"/>
    <w:rsid w:val="00E044E7"/>
    <w:rsid w:val="00E049F9"/>
    <w:rsid w:val="00E05E7C"/>
    <w:rsid w:val="00E077AA"/>
    <w:rsid w:val="00E07E88"/>
    <w:rsid w:val="00E12622"/>
    <w:rsid w:val="00E139EC"/>
    <w:rsid w:val="00E15FBF"/>
    <w:rsid w:val="00E17FDC"/>
    <w:rsid w:val="00E21259"/>
    <w:rsid w:val="00E212B1"/>
    <w:rsid w:val="00E320D5"/>
    <w:rsid w:val="00E37EDD"/>
    <w:rsid w:val="00E44CCB"/>
    <w:rsid w:val="00E45719"/>
    <w:rsid w:val="00E4798B"/>
    <w:rsid w:val="00E512AB"/>
    <w:rsid w:val="00E52A2C"/>
    <w:rsid w:val="00E52E49"/>
    <w:rsid w:val="00E55452"/>
    <w:rsid w:val="00E56E1D"/>
    <w:rsid w:val="00E62EA1"/>
    <w:rsid w:val="00E643A1"/>
    <w:rsid w:val="00E703AE"/>
    <w:rsid w:val="00E71A3C"/>
    <w:rsid w:val="00E73A6F"/>
    <w:rsid w:val="00E73C8B"/>
    <w:rsid w:val="00E7590A"/>
    <w:rsid w:val="00E77903"/>
    <w:rsid w:val="00E90C6D"/>
    <w:rsid w:val="00E9280A"/>
    <w:rsid w:val="00E93D97"/>
    <w:rsid w:val="00E945B9"/>
    <w:rsid w:val="00E95145"/>
    <w:rsid w:val="00EA34BE"/>
    <w:rsid w:val="00EA7168"/>
    <w:rsid w:val="00EB07A7"/>
    <w:rsid w:val="00EB74EF"/>
    <w:rsid w:val="00EB7C6F"/>
    <w:rsid w:val="00EC0909"/>
    <w:rsid w:val="00EC0CCD"/>
    <w:rsid w:val="00EC4C7E"/>
    <w:rsid w:val="00ED03ED"/>
    <w:rsid w:val="00ED4298"/>
    <w:rsid w:val="00ED47D0"/>
    <w:rsid w:val="00ED4D4C"/>
    <w:rsid w:val="00ED516A"/>
    <w:rsid w:val="00EE1D5F"/>
    <w:rsid w:val="00EE5F4E"/>
    <w:rsid w:val="00EE5FB5"/>
    <w:rsid w:val="00EE7A13"/>
    <w:rsid w:val="00EF63C0"/>
    <w:rsid w:val="00EF6FA3"/>
    <w:rsid w:val="00EF7007"/>
    <w:rsid w:val="00EF78AF"/>
    <w:rsid w:val="00F00C49"/>
    <w:rsid w:val="00F02084"/>
    <w:rsid w:val="00F02928"/>
    <w:rsid w:val="00F03973"/>
    <w:rsid w:val="00F043B9"/>
    <w:rsid w:val="00F13FB2"/>
    <w:rsid w:val="00F149EB"/>
    <w:rsid w:val="00F152DB"/>
    <w:rsid w:val="00F17840"/>
    <w:rsid w:val="00F20175"/>
    <w:rsid w:val="00F21467"/>
    <w:rsid w:val="00F22B3B"/>
    <w:rsid w:val="00F248FD"/>
    <w:rsid w:val="00F25152"/>
    <w:rsid w:val="00F2561A"/>
    <w:rsid w:val="00F263A7"/>
    <w:rsid w:val="00F34DB4"/>
    <w:rsid w:val="00F36DD7"/>
    <w:rsid w:val="00F40A6B"/>
    <w:rsid w:val="00F40C9A"/>
    <w:rsid w:val="00F41499"/>
    <w:rsid w:val="00F45EBD"/>
    <w:rsid w:val="00F46DF7"/>
    <w:rsid w:val="00F47049"/>
    <w:rsid w:val="00F50393"/>
    <w:rsid w:val="00F52597"/>
    <w:rsid w:val="00F5762A"/>
    <w:rsid w:val="00F6127E"/>
    <w:rsid w:val="00F62919"/>
    <w:rsid w:val="00F67ABD"/>
    <w:rsid w:val="00F67FCB"/>
    <w:rsid w:val="00F7071D"/>
    <w:rsid w:val="00F70AAF"/>
    <w:rsid w:val="00F7283A"/>
    <w:rsid w:val="00F72CCE"/>
    <w:rsid w:val="00F74590"/>
    <w:rsid w:val="00F77537"/>
    <w:rsid w:val="00F814ED"/>
    <w:rsid w:val="00F9084F"/>
    <w:rsid w:val="00F91CA0"/>
    <w:rsid w:val="00F94352"/>
    <w:rsid w:val="00F9617B"/>
    <w:rsid w:val="00FA2B97"/>
    <w:rsid w:val="00FA4E35"/>
    <w:rsid w:val="00FA5961"/>
    <w:rsid w:val="00FA7F28"/>
    <w:rsid w:val="00FB0679"/>
    <w:rsid w:val="00FB2A3D"/>
    <w:rsid w:val="00FB5009"/>
    <w:rsid w:val="00FB5CFB"/>
    <w:rsid w:val="00FB7593"/>
    <w:rsid w:val="00FB7FE6"/>
    <w:rsid w:val="00FC02BC"/>
    <w:rsid w:val="00FC1875"/>
    <w:rsid w:val="00FC1B4E"/>
    <w:rsid w:val="00FC2404"/>
    <w:rsid w:val="00FC27F9"/>
    <w:rsid w:val="00FD270A"/>
    <w:rsid w:val="00FD7304"/>
    <w:rsid w:val="00FD7602"/>
    <w:rsid w:val="00FD7876"/>
    <w:rsid w:val="00FE2ED2"/>
    <w:rsid w:val="00FE4EC4"/>
    <w:rsid w:val="00FE6636"/>
    <w:rsid w:val="00FF126F"/>
    <w:rsid w:val="00FF2ABA"/>
    <w:rsid w:val="00FF3F3A"/>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B3809"/>
  <w15:docId w15:val="{E333DAA7-973C-45D8-B7A1-A923A84FC8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s-CO" w:eastAsia="es-CO"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03B7"/>
    <w:pPr>
      <w:spacing w:after="0" w:line="240" w:lineRule="auto"/>
    </w:pPr>
    <w:rPr>
      <w:rFonts w:ascii="Times New Roman" w:eastAsia="Times New Roman" w:hAnsi="Times New Roman" w:cs="Times New Roman"/>
      <w:kern w:val="0"/>
      <w:sz w:val="24"/>
      <w:szCs w:val="24"/>
      <w:lang w:eastAsia="es-MX"/>
      <w14:ligatures w14:val="none"/>
    </w:rPr>
  </w:style>
  <w:style w:type="paragraph" w:styleId="Ttulo1">
    <w:name w:val="heading 1"/>
    <w:basedOn w:val="Normal"/>
    <w:next w:val="Normal"/>
    <w:link w:val="Ttulo1Car"/>
    <w:uiPriority w:val="9"/>
    <w:qFormat/>
    <w:rsid w:val="00C0707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754FF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E56E1D"/>
    <w:pPr>
      <w:keepNext/>
      <w:keepLines/>
      <w:spacing w:before="40"/>
      <w:outlineLvl w:val="2"/>
    </w:pPr>
    <w:rPr>
      <w:rFonts w:asciiTheme="majorHAnsi" w:eastAsiaTheme="majorEastAsia" w:hAnsiTheme="majorHAnsi" w:cstheme="majorBidi"/>
      <w:color w:val="1F4D78" w:themeColor="accent1" w:themeShade="7F"/>
    </w:rPr>
  </w:style>
  <w:style w:type="paragraph" w:styleId="Ttulo4">
    <w:name w:val="heading 4"/>
    <w:basedOn w:val="Normal"/>
    <w:next w:val="Normal"/>
    <w:link w:val="Ttulo4Car"/>
    <w:uiPriority w:val="9"/>
    <w:unhideWhenUsed/>
    <w:qFormat/>
    <w:rsid w:val="00D91278"/>
    <w:pPr>
      <w:keepNext/>
      <w:keepLines/>
      <w:spacing w:before="40" w:line="276" w:lineRule="auto"/>
      <w:outlineLvl w:val="3"/>
    </w:pPr>
    <w:rPr>
      <w:rFonts w:asciiTheme="majorHAnsi" w:eastAsiaTheme="majorEastAsia" w:hAnsiTheme="majorHAnsi" w:cstheme="majorBidi"/>
      <w:i/>
      <w:iCs/>
      <w:color w:val="2E74B5" w:themeColor="accent1" w:themeShade="BF"/>
      <w:lang w:eastAsia="en-US"/>
    </w:rPr>
  </w:style>
  <w:style w:type="paragraph" w:styleId="Ttulo5">
    <w:name w:val="heading 5"/>
    <w:basedOn w:val="Normal"/>
    <w:next w:val="Normal"/>
    <w:link w:val="Ttulo5Car"/>
    <w:uiPriority w:val="9"/>
    <w:semiHidden/>
    <w:unhideWhenUsed/>
    <w:qFormat/>
    <w:rsid w:val="00D91278"/>
    <w:pPr>
      <w:tabs>
        <w:tab w:val="num" w:pos="3600"/>
      </w:tabs>
      <w:spacing w:before="240" w:after="60"/>
      <w:ind w:left="3600" w:hanging="720"/>
      <w:outlineLvl w:val="4"/>
    </w:pPr>
    <w:rPr>
      <w:b/>
      <w:bCs/>
      <w:i/>
      <w:iCs/>
      <w:sz w:val="26"/>
      <w:szCs w:val="26"/>
      <w:lang w:val="en-US" w:eastAsia="en-US"/>
    </w:rPr>
  </w:style>
  <w:style w:type="paragraph" w:styleId="Ttulo6">
    <w:name w:val="heading 6"/>
    <w:basedOn w:val="Normal"/>
    <w:next w:val="Normal"/>
    <w:link w:val="Ttulo6Car"/>
    <w:qFormat/>
    <w:rsid w:val="00D91278"/>
    <w:pPr>
      <w:tabs>
        <w:tab w:val="num" w:pos="4320"/>
      </w:tabs>
      <w:spacing w:before="240" w:after="60"/>
      <w:ind w:left="4320" w:hanging="720"/>
      <w:outlineLvl w:val="5"/>
    </w:pPr>
    <w:rPr>
      <w:b/>
      <w:bCs/>
      <w:lang w:val="en-US" w:eastAsia="en-US"/>
    </w:rPr>
  </w:style>
  <w:style w:type="paragraph" w:styleId="Ttulo7">
    <w:name w:val="heading 7"/>
    <w:basedOn w:val="Normal"/>
    <w:next w:val="Normal"/>
    <w:link w:val="Ttulo7Car"/>
    <w:uiPriority w:val="9"/>
    <w:semiHidden/>
    <w:unhideWhenUsed/>
    <w:qFormat/>
    <w:rsid w:val="00D91278"/>
    <w:pPr>
      <w:tabs>
        <w:tab w:val="num" w:pos="5040"/>
      </w:tabs>
      <w:spacing w:before="240" w:after="60"/>
      <w:ind w:left="5040" w:hanging="720"/>
      <w:outlineLvl w:val="6"/>
    </w:pPr>
    <w:rPr>
      <w:lang w:val="en-US" w:eastAsia="en-US"/>
    </w:rPr>
  </w:style>
  <w:style w:type="paragraph" w:styleId="Ttulo8">
    <w:name w:val="heading 8"/>
    <w:basedOn w:val="Normal"/>
    <w:next w:val="Normal"/>
    <w:link w:val="Ttulo8Car"/>
    <w:uiPriority w:val="9"/>
    <w:semiHidden/>
    <w:unhideWhenUsed/>
    <w:qFormat/>
    <w:rsid w:val="00D91278"/>
    <w:pPr>
      <w:tabs>
        <w:tab w:val="num" w:pos="5760"/>
      </w:tabs>
      <w:spacing w:before="240" w:after="60"/>
      <w:ind w:left="5760" w:hanging="720"/>
      <w:outlineLvl w:val="7"/>
    </w:pPr>
    <w:rPr>
      <w:i/>
      <w:iCs/>
      <w:lang w:val="en-US" w:eastAsia="en-US"/>
    </w:rPr>
  </w:style>
  <w:style w:type="paragraph" w:styleId="Ttulo9">
    <w:name w:val="heading 9"/>
    <w:basedOn w:val="Normal"/>
    <w:next w:val="Normal"/>
    <w:link w:val="Ttulo9Car"/>
    <w:uiPriority w:val="9"/>
    <w:semiHidden/>
    <w:unhideWhenUsed/>
    <w:qFormat/>
    <w:rsid w:val="00D91278"/>
    <w:pPr>
      <w:tabs>
        <w:tab w:val="num" w:pos="6480"/>
      </w:tabs>
      <w:spacing w:before="240" w:after="60"/>
      <w:ind w:left="6480" w:hanging="720"/>
      <w:outlineLvl w:val="8"/>
    </w:pPr>
    <w:rPr>
      <w:rFonts w:asciiTheme="majorHAnsi" w:eastAsiaTheme="majorEastAsia" w:hAnsiTheme="majorHAnsi" w:cstheme="majorBid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HOJA,Bolita,Párrafo de lista4,BOLADEF,Párrafo de lista3,Párrafo de lista21,BOLA,Nivel 1 OS,Colorful List Accent 1,Colorful List - Accent 11,List Paragraph,Foot,Fotografía,Bullet List,FooterText,numbered,Paragraphe de liste1,lp1,Viñeta 6"/>
    <w:basedOn w:val="Normal"/>
    <w:link w:val="PrrafodelistaCar"/>
    <w:uiPriority w:val="1"/>
    <w:qFormat/>
    <w:rsid w:val="00AF6383"/>
    <w:pPr>
      <w:ind w:left="720"/>
      <w:contextualSpacing/>
    </w:pPr>
  </w:style>
  <w:style w:type="character" w:styleId="Hipervnculo">
    <w:name w:val="Hyperlink"/>
    <w:basedOn w:val="Fuentedeprrafopredeter"/>
    <w:uiPriority w:val="99"/>
    <w:unhideWhenUsed/>
    <w:rsid w:val="00E212B1"/>
    <w:rPr>
      <w:color w:val="0563C1" w:themeColor="hyperlink"/>
      <w:u w:val="single"/>
    </w:rPr>
  </w:style>
  <w:style w:type="character" w:customStyle="1" w:styleId="Mencinsinresolver1">
    <w:name w:val="Mención sin resolver1"/>
    <w:basedOn w:val="Fuentedeprrafopredeter"/>
    <w:uiPriority w:val="99"/>
    <w:semiHidden/>
    <w:unhideWhenUsed/>
    <w:rsid w:val="00E212B1"/>
    <w:rPr>
      <w:color w:val="605E5C"/>
      <w:shd w:val="clear" w:color="auto" w:fill="E1DFDD"/>
    </w:rPr>
  </w:style>
  <w:style w:type="table" w:styleId="Tablaconcuadrcula">
    <w:name w:val="Table Grid"/>
    <w:basedOn w:val="Tablanormal"/>
    <w:uiPriority w:val="59"/>
    <w:rsid w:val="002A3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List Paragraph Car,Foot Car,Fotografía Car,lp1 Car"/>
    <w:link w:val="Prrafodelista"/>
    <w:uiPriority w:val="1"/>
    <w:qFormat/>
    <w:locked/>
    <w:rsid w:val="00C72039"/>
  </w:style>
  <w:style w:type="character" w:customStyle="1" w:styleId="normaltextrun">
    <w:name w:val="normaltextrun"/>
    <w:basedOn w:val="Fuentedeprrafopredeter"/>
    <w:rsid w:val="00C72039"/>
  </w:style>
  <w:style w:type="paragraph" w:customStyle="1" w:styleId="Estudio">
    <w:name w:val="Estudio"/>
    <w:basedOn w:val="Normal"/>
    <w:link w:val="EstudioCar"/>
    <w:qFormat/>
    <w:rsid w:val="00C72039"/>
    <w:pPr>
      <w:tabs>
        <w:tab w:val="left" w:pos="851"/>
      </w:tabs>
      <w:suppressAutoHyphens/>
      <w:autoSpaceDN w:val="0"/>
      <w:jc w:val="both"/>
      <w:textAlignment w:val="baseline"/>
    </w:pPr>
    <w:rPr>
      <w:rFonts w:ascii="Garamond" w:hAnsi="Garamond" w:cs="Arial"/>
      <w:bCs/>
      <w:kern w:val="3"/>
      <w:lang w:eastAsia="zh-CN"/>
    </w:rPr>
  </w:style>
  <w:style w:type="character" w:customStyle="1" w:styleId="EstudioCar">
    <w:name w:val="Estudio Car"/>
    <w:basedOn w:val="Fuentedeprrafopredeter"/>
    <w:link w:val="Estudio"/>
    <w:rsid w:val="00C72039"/>
    <w:rPr>
      <w:rFonts w:ascii="Garamond" w:eastAsia="Times New Roman" w:hAnsi="Garamond" w:cs="Arial"/>
      <w:bCs/>
      <w:kern w:val="3"/>
      <w:lang w:eastAsia="zh-CN"/>
      <w14:ligatures w14:val="none"/>
    </w:rPr>
  </w:style>
  <w:style w:type="paragraph" w:styleId="Sinespaciado">
    <w:name w:val="No Spacing"/>
    <w:aliases w:val="Aries,k"/>
    <w:link w:val="SinespaciadoCar"/>
    <w:uiPriority w:val="99"/>
    <w:qFormat/>
    <w:rsid w:val="00C72039"/>
    <w:pPr>
      <w:spacing w:after="0" w:line="240" w:lineRule="auto"/>
    </w:pPr>
    <w:rPr>
      <w:rFonts w:ascii="Calibri" w:eastAsia="Calibri" w:hAnsi="Calibri" w:cs="Times New Roman"/>
      <w:kern w:val="0"/>
      <w:lang w:eastAsia="en-US"/>
      <w14:ligatures w14:val="none"/>
    </w:rPr>
  </w:style>
  <w:style w:type="paragraph" w:customStyle="1" w:styleId="Estilo1TituloEstudiodelsector">
    <w:name w:val="Estilo1 Titulo Estudio del sector"/>
    <w:basedOn w:val="Normal"/>
    <w:link w:val="Estilo1TituloEstudiodelsectorCar"/>
    <w:qFormat/>
    <w:rsid w:val="003C69CF"/>
    <w:pPr>
      <w:numPr>
        <w:numId w:val="1"/>
      </w:numPr>
      <w:contextualSpacing/>
      <w:jc w:val="both"/>
    </w:pPr>
    <w:rPr>
      <w:rFonts w:ascii="Garamond" w:eastAsia="Arial" w:hAnsi="Garamond" w:cs="Arial"/>
      <w:b/>
    </w:rPr>
  </w:style>
  <w:style w:type="character" w:customStyle="1" w:styleId="Estilo1TituloEstudiodelsectorCar">
    <w:name w:val="Estilo1 Titulo Estudio del sector Car"/>
    <w:basedOn w:val="Fuentedeprrafopredeter"/>
    <w:link w:val="Estilo1TituloEstudiodelsector"/>
    <w:rsid w:val="003C69CF"/>
    <w:rPr>
      <w:rFonts w:ascii="Garamond" w:eastAsia="Arial" w:hAnsi="Garamond" w:cs="Arial"/>
      <w:b/>
    </w:rPr>
  </w:style>
  <w:style w:type="paragraph" w:styleId="Textoindependiente">
    <w:name w:val="Body Text"/>
    <w:basedOn w:val="Normal"/>
    <w:link w:val="TextoindependienteCar"/>
    <w:uiPriority w:val="1"/>
    <w:qFormat/>
    <w:rsid w:val="00D83A03"/>
    <w:pPr>
      <w:spacing w:after="120"/>
    </w:pPr>
    <w:rPr>
      <w:sz w:val="20"/>
      <w:szCs w:val="20"/>
      <w:lang w:eastAsia="es-ES"/>
    </w:rPr>
  </w:style>
  <w:style w:type="character" w:customStyle="1" w:styleId="TextoindependienteCar">
    <w:name w:val="Texto independiente Car"/>
    <w:basedOn w:val="Fuentedeprrafopredeter"/>
    <w:link w:val="Textoindependiente"/>
    <w:uiPriority w:val="1"/>
    <w:rsid w:val="00D83A03"/>
    <w:rPr>
      <w:rFonts w:ascii="Times New Roman" w:eastAsia="Times New Roman" w:hAnsi="Times New Roman" w:cs="Times New Roman"/>
      <w:kern w:val="0"/>
      <w:sz w:val="20"/>
      <w:szCs w:val="20"/>
      <w:lang w:eastAsia="es-ES"/>
      <w14:ligatures w14:val="none"/>
    </w:rPr>
  </w:style>
  <w:style w:type="paragraph" w:styleId="Ttulo">
    <w:name w:val="Title"/>
    <w:basedOn w:val="Normal"/>
    <w:next w:val="Normal"/>
    <w:link w:val="TtuloCar"/>
    <w:uiPriority w:val="10"/>
    <w:qFormat/>
    <w:rsid w:val="00E17FDC"/>
    <w:pPr>
      <w:spacing w:after="80"/>
      <w:contextualSpacing/>
    </w:pPr>
    <w:rPr>
      <w:rFonts w:asciiTheme="majorHAnsi" w:eastAsiaTheme="majorEastAsia" w:hAnsiTheme="majorHAnsi" w:cstheme="majorBidi"/>
      <w:spacing w:val="-10"/>
      <w:kern w:val="28"/>
      <w:sz w:val="56"/>
      <w:szCs w:val="56"/>
      <w:lang w:eastAsia="es-ES"/>
    </w:rPr>
  </w:style>
  <w:style w:type="character" w:customStyle="1" w:styleId="TtuloCar">
    <w:name w:val="Título Car"/>
    <w:basedOn w:val="Fuentedeprrafopredeter"/>
    <w:link w:val="Ttulo"/>
    <w:uiPriority w:val="10"/>
    <w:rsid w:val="00E17FDC"/>
    <w:rPr>
      <w:rFonts w:asciiTheme="majorHAnsi" w:eastAsiaTheme="majorEastAsia" w:hAnsiTheme="majorHAnsi" w:cstheme="majorBidi"/>
      <w:spacing w:val="-10"/>
      <w:kern w:val="28"/>
      <w:sz w:val="56"/>
      <w:szCs w:val="56"/>
      <w:lang w:eastAsia="es-ES"/>
      <w14:ligatures w14:val="none"/>
    </w:rPr>
  </w:style>
  <w:style w:type="paragraph" w:customStyle="1" w:styleId="Standard">
    <w:name w:val="Standard"/>
    <w:link w:val="StandardCar"/>
    <w:qFormat/>
    <w:rsid w:val="00C95A56"/>
    <w:pPr>
      <w:suppressAutoHyphens/>
      <w:autoSpaceDN w:val="0"/>
      <w:spacing w:after="0" w:line="240" w:lineRule="auto"/>
      <w:textAlignment w:val="baseline"/>
    </w:pPr>
    <w:rPr>
      <w:rFonts w:ascii="Times New Roman" w:eastAsia="Times New Roman" w:hAnsi="Times New Roman" w:cs="Times New Roman"/>
      <w:kern w:val="3"/>
      <w:sz w:val="20"/>
      <w:szCs w:val="20"/>
      <w:lang w:eastAsia="zh-CN"/>
      <w14:ligatures w14:val="none"/>
    </w:rPr>
  </w:style>
  <w:style w:type="character" w:customStyle="1" w:styleId="StandardCar">
    <w:name w:val="Standard Car"/>
    <w:link w:val="Standard"/>
    <w:locked/>
    <w:rsid w:val="00C95A56"/>
    <w:rPr>
      <w:rFonts w:ascii="Times New Roman" w:eastAsia="Times New Roman" w:hAnsi="Times New Roman" w:cs="Times New Roman"/>
      <w:kern w:val="3"/>
      <w:sz w:val="20"/>
      <w:szCs w:val="20"/>
      <w:lang w:eastAsia="zh-CN"/>
      <w14:ligatures w14:val="none"/>
    </w:rPr>
  </w:style>
  <w:style w:type="paragraph" w:styleId="NormalWeb">
    <w:name w:val="Normal (Web)"/>
    <w:basedOn w:val="Normal"/>
    <w:uiPriority w:val="99"/>
    <w:unhideWhenUsed/>
    <w:rsid w:val="00D0410A"/>
  </w:style>
  <w:style w:type="character" w:styleId="Textoennegrita">
    <w:name w:val="Strong"/>
    <w:basedOn w:val="Fuentedeprrafopredeter"/>
    <w:uiPriority w:val="22"/>
    <w:qFormat/>
    <w:rsid w:val="00EE7A13"/>
    <w:rPr>
      <w:b/>
      <w:bCs/>
    </w:rPr>
  </w:style>
  <w:style w:type="character" w:styleId="Hipervnculovisitado">
    <w:name w:val="FollowedHyperlink"/>
    <w:basedOn w:val="Fuentedeprrafopredeter"/>
    <w:uiPriority w:val="99"/>
    <w:semiHidden/>
    <w:unhideWhenUsed/>
    <w:rsid w:val="00430A8C"/>
    <w:rPr>
      <w:color w:val="954F72" w:themeColor="followedHyperlink"/>
      <w:u w:val="single"/>
    </w:rPr>
  </w:style>
  <w:style w:type="character" w:customStyle="1" w:styleId="Ttulo1Car">
    <w:name w:val="Título 1 Car"/>
    <w:basedOn w:val="Fuentedeprrafopredeter"/>
    <w:link w:val="Ttulo1"/>
    <w:uiPriority w:val="9"/>
    <w:rsid w:val="00C0707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E56E1D"/>
    <w:rPr>
      <w:rFonts w:asciiTheme="majorHAnsi" w:eastAsiaTheme="majorEastAsia" w:hAnsiTheme="majorHAnsi" w:cstheme="majorBidi"/>
      <w:color w:val="1F4D78" w:themeColor="accent1" w:themeShade="7F"/>
      <w:sz w:val="24"/>
      <w:szCs w:val="24"/>
    </w:rPr>
  </w:style>
  <w:style w:type="character" w:customStyle="1" w:styleId="SinespaciadoCar">
    <w:name w:val="Sin espaciado Car"/>
    <w:aliases w:val="Aries Car,k Car"/>
    <w:link w:val="Sinespaciado"/>
    <w:uiPriority w:val="99"/>
    <w:rsid w:val="001D387A"/>
    <w:rPr>
      <w:rFonts w:ascii="Calibri" w:eastAsia="Calibri" w:hAnsi="Calibri" w:cs="Times New Roman"/>
      <w:kern w:val="0"/>
      <w:lang w:eastAsia="en-US"/>
      <w14:ligatures w14:val="none"/>
    </w:rPr>
  </w:style>
  <w:style w:type="character" w:customStyle="1" w:styleId="Ttulo2Car">
    <w:name w:val="Título 2 Car"/>
    <w:basedOn w:val="Fuentedeprrafopredeter"/>
    <w:link w:val="Ttulo2"/>
    <w:uiPriority w:val="9"/>
    <w:rsid w:val="00754FFB"/>
    <w:rPr>
      <w:rFonts w:asciiTheme="majorHAnsi" w:eastAsiaTheme="majorEastAsia" w:hAnsiTheme="majorHAnsi" w:cstheme="majorBidi"/>
      <w:color w:val="2E74B5" w:themeColor="accent1" w:themeShade="BF"/>
      <w:sz w:val="26"/>
      <w:szCs w:val="26"/>
    </w:rPr>
  </w:style>
  <w:style w:type="table" w:customStyle="1" w:styleId="TableNormal">
    <w:name w:val="Table Normal"/>
    <w:uiPriority w:val="2"/>
    <w:semiHidden/>
    <w:unhideWhenUsed/>
    <w:qFormat/>
    <w:rsid w:val="00754FFB"/>
    <w:pPr>
      <w:widowControl w:val="0"/>
      <w:autoSpaceDE w:val="0"/>
      <w:autoSpaceDN w:val="0"/>
      <w:spacing w:after="0" w:line="240" w:lineRule="auto"/>
    </w:pPr>
    <w:rPr>
      <w:rFonts w:eastAsiaTheme="minorHAnsi"/>
      <w:kern w:val="0"/>
      <w:lang w:val="en-US" w:eastAsia="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54FFB"/>
    <w:pPr>
      <w:widowControl w:val="0"/>
      <w:autoSpaceDE w:val="0"/>
      <w:autoSpaceDN w:val="0"/>
      <w:ind w:left="69"/>
    </w:pPr>
    <w:rPr>
      <w:lang w:val="es-ES" w:eastAsia="en-US"/>
    </w:rPr>
  </w:style>
  <w:style w:type="character" w:customStyle="1" w:styleId="Ttulo4Car">
    <w:name w:val="Título 4 Car"/>
    <w:basedOn w:val="Fuentedeprrafopredeter"/>
    <w:link w:val="Ttulo4"/>
    <w:uiPriority w:val="9"/>
    <w:rsid w:val="00D91278"/>
    <w:rPr>
      <w:rFonts w:asciiTheme="majorHAnsi" w:eastAsiaTheme="majorEastAsia" w:hAnsiTheme="majorHAnsi" w:cstheme="majorBidi"/>
      <w:i/>
      <w:iCs/>
      <w:color w:val="2E74B5" w:themeColor="accent1" w:themeShade="BF"/>
      <w:kern w:val="0"/>
      <w:lang w:eastAsia="en-US"/>
      <w14:ligatures w14:val="none"/>
    </w:rPr>
  </w:style>
  <w:style w:type="character" w:customStyle="1" w:styleId="Ttulo5Car">
    <w:name w:val="Título 5 Car"/>
    <w:basedOn w:val="Fuentedeprrafopredeter"/>
    <w:link w:val="Ttulo5"/>
    <w:uiPriority w:val="9"/>
    <w:semiHidden/>
    <w:rsid w:val="00D91278"/>
    <w:rPr>
      <w:b/>
      <w:bCs/>
      <w:i/>
      <w:iCs/>
      <w:kern w:val="0"/>
      <w:sz w:val="26"/>
      <w:szCs w:val="26"/>
      <w:lang w:val="en-US" w:eastAsia="en-US"/>
      <w14:ligatures w14:val="none"/>
    </w:rPr>
  </w:style>
  <w:style w:type="character" w:customStyle="1" w:styleId="Ttulo6Car">
    <w:name w:val="Título 6 Car"/>
    <w:basedOn w:val="Fuentedeprrafopredeter"/>
    <w:link w:val="Ttulo6"/>
    <w:rsid w:val="00D91278"/>
    <w:rPr>
      <w:rFonts w:ascii="Times New Roman" w:eastAsia="Times New Roman" w:hAnsi="Times New Roman" w:cs="Times New Roman"/>
      <w:b/>
      <w:bCs/>
      <w:kern w:val="0"/>
      <w:lang w:val="en-US" w:eastAsia="en-US"/>
      <w14:ligatures w14:val="none"/>
    </w:rPr>
  </w:style>
  <w:style w:type="character" w:customStyle="1" w:styleId="Ttulo7Car">
    <w:name w:val="Título 7 Car"/>
    <w:basedOn w:val="Fuentedeprrafopredeter"/>
    <w:link w:val="Ttulo7"/>
    <w:uiPriority w:val="9"/>
    <w:semiHidden/>
    <w:rsid w:val="00D91278"/>
    <w:rPr>
      <w:kern w:val="0"/>
      <w:sz w:val="24"/>
      <w:szCs w:val="24"/>
      <w:lang w:val="en-US" w:eastAsia="en-US"/>
      <w14:ligatures w14:val="none"/>
    </w:rPr>
  </w:style>
  <w:style w:type="character" w:customStyle="1" w:styleId="Ttulo8Car">
    <w:name w:val="Título 8 Car"/>
    <w:basedOn w:val="Fuentedeprrafopredeter"/>
    <w:link w:val="Ttulo8"/>
    <w:uiPriority w:val="9"/>
    <w:semiHidden/>
    <w:rsid w:val="00D91278"/>
    <w:rPr>
      <w:i/>
      <w:iCs/>
      <w:kern w:val="0"/>
      <w:sz w:val="24"/>
      <w:szCs w:val="24"/>
      <w:lang w:val="en-US" w:eastAsia="en-US"/>
      <w14:ligatures w14:val="none"/>
    </w:rPr>
  </w:style>
  <w:style w:type="character" w:customStyle="1" w:styleId="Ttulo9Car">
    <w:name w:val="Título 9 Car"/>
    <w:basedOn w:val="Fuentedeprrafopredeter"/>
    <w:link w:val="Ttulo9"/>
    <w:uiPriority w:val="9"/>
    <w:semiHidden/>
    <w:rsid w:val="00D91278"/>
    <w:rPr>
      <w:rFonts w:asciiTheme="majorHAnsi" w:eastAsiaTheme="majorEastAsia" w:hAnsiTheme="majorHAnsi" w:cstheme="majorBidi"/>
      <w:kern w:val="0"/>
      <w:lang w:val="en-US" w:eastAsia="en-US"/>
      <w14:ligatures w14:val="none"/>
    </w:rPr>
  </w:style>
  <w:style w:type="paragraph" w:styleId="Encabezado">
    <w:name w:val="header"/>
    <w:aliases w:val="h,h8,h9,h10,h18"/>
    <w:basedOn w:val="Normal"/>
    <w:link w:val="EncabezadoCar"/>
    <w:uiPriority w:val="99"/>
    <w:rsid w:val="00D91278"/>
    <w:pPr>
      <w:tabs>
        <w:tab w:val="center" w:pos="4419"/>
        <w:tab w:val="right" w:pos="8838"/>
      </w:tabs>
      <w:spacing w:after="200" w:line="276" w:lineRule="auto"/>
    </w:pPr>
    <w:rPr>
      <w:rFonts w:ascii="Calibri" w:hAnsi="Calibri" w:cs="Calibri"/>
      <w:lang w:eastAsia="en-US"/>
    </w:rPr>
  </w:style>
  <w:style w:type="character" w:customStyle="1" w:styleId="EncabezadoCar">
    <w:name w:val="Encabezado Car"/>
    <w:aliases w:val="h Car,h8 Car,h9 Car,h10 Car,h18 Car"/>
    <w:basedOn w:val="Fuentedeprrafopredeter"/>
    <w:link w:val="Encabezado"/>
    <w:uiPriority w:val="99"/>
    <w:rsid w:val="00D91278"/>
    <w:rPr>
      <w:rFonts w:ascii="Calibri" w:eastAsia="Times New Roman" w:hAnsi="Calibri" w:cs="Calibri"/>
      <w:kern w:val="0"/>
      <w:lang w:eastAsia="en-US"/>
      <w14:ligatures w14:val="none"/>
    </w:rPr>
  </w:style>
  <w:style w:type="paragraph" w:styleId="Piedepgina">
    <w:name w:val="footer"/>
    <w:basedOn w:val="Normal"/>
    <w:link w:val="PiedepginaCar"/>
    <w:uiPriority w:val="99"/>
    <w:rsid w:val="00D91278"/>
    <w:pPr>
      <w:tabs>
        <w:tab w:val="center" w:pos="4419"/>
        <w:tab w:val="right" w:pos="8838"/>
      </w:tabs>
      <w:spacing w:after="200" w:line="276" w:lineRule="auto"/>
    </w:pPr>
    <w:rPr>
      <w:rFonts w:ascii="Calibri" w:hAnsi="Calibri" w:cs="Calibri"/>
      <w:lang w:eastAsia="en-US"/>
    </w:rPr>
  </w:style>
  <w:style w:type="character" w:customStyle="1" w:styleId="PiedepginaCar">
    <w:name w:val="Pie de página Car"/>
    <w:basedOn w:val="Fuentedeprrafopredeter"/>
    <w:link w:val="Piedepgina"/>
    <w:uiPriority w:val="99"/>
    <w:rsid w:val="00D91278"/>
    <w:rPr>
      <w:rFonts w:ascii="Calibri" w:eastAsia="Times New Roman" w:hAnsi="Calibri" w:cs="Calibri"/>
      <w:kern w:val="0"/>
      <w:lang w:eastAsia="en-US"/>
      <w14:ligatures w14:val="none"/>
    </w:rPr>
  </w:style>
  <w:style w:type="paragraph" w:styleId="Textodeglobo">
    <w:name w:val="Balloon Text"/>
    <w:basedOn w:val="Normal"/>
    <w:link w:val="TextodegloboCar"/>
    <w:rsid w:val="00D91278"/>
    <w:rPr>
      <w:rFonts w:ascii="Tahoma" w:hAnsi="Tahoma" w:cs="Tahoma"/>
      <w:sz w:val="16"/>
      <w:szCs w:val="16"/>
      <w:lang w:eastAsia="en-US"/>
    </w:rPr>
  </w:style>
  <w:style w:type="character" w:customStyle="1" w:styleId="TextodegloboCar">
    <w:name w:val="Texto de globo Car"/>
    <w:basedOn w:val="Fuentedeprrafopredeter"/>
    <w:link w:val="Textodeglobo"/>
    <w:rsid w:val="00D91278"/>
    <w:rPr>
      <w:rFonts w:ascii="Tahoma" w:eastAsia="Times New Roman" w:hAnsi="Tahoma" w:cs="Tahoma"/>
      <w:kern w:val="0"/>
      <w:sz w:val="16"/>
      <w:szCs w:val="16"/>
      <w:lang w:eastAsia="en-US"/>
      <w14:ligatures w14:val="none"/>
    </w:rPr>
  </w:style>
  <w:style w:type="paragraph" w:customStyle="1" w:styleId="Listavistosa-nfasis12">
    <w:name w:val="Lista vistosa - Énfasis 12"/>
    <w:basedOn w:val="Normal"/>
    <w:uiPriority w:val="99"/>
    <w:qFormat/>
    <w:rsid w:val="00D91278"/>
    <w:pPr>
      <w:ind w:left="708"/>
    </w:pPr>
    <w:rPr>
      <w:lang w:val="es-ES" w:eastAsia="es-ES"/>
    </w:rPr>
  </w:style>
  <w:style w:type="paragraph" w:customStyle="1" w:styleId="Style15">
    <w:name w:val="Style15"/>
    <w:basedOn w:val="Normal"/>
    <w:uiPriority w:val="99"/>
    <w:rsid w:val="00D91278"/>
    <w:pPr>
      <w:widowControl w:val="0"/>
      <w:tabs>
        <w:tab w:val="left" w:pos="345"/>
      </w:tabs>
      <w:autoSpaceDE w:val="0"/>
      <w:autoSpaceDN w:val="0"/>
      <w:adjustRightInd w:val="0"/>
    </w:pPr>
    <w:rPr>
      <w:rFonts w:ascii="Arial" w:hAnsi="Arial" w:cs="Arial"/>
      <w:sz w:val="20"/>
      <w:szCs w:val="20"/>
      <w:lang w:val="en-US"/>
    </w:rPr>
  </w:style>
  <w:style w:type="character" w:styleId="Refdecomentario">
    <w:name w:val="annotation reference"/>
    <w:uiPriority w:val="99"/>
    <w:unhideWhenUsed/>
    <w:qFormat/>
    <w:rsid w:val="00D91278"/>
    <w:rPr>
      <w:sz w:val="16"/>
      <w:szCs w:val="16"/>
    </w:rPr>
  </w:style>
  <w:style w:type="paragraph" w:styleId="Textocomentario">
    <w:name w:val="annotation text"/>
    <w:basedOn w:val="Normal"/>
    <w:link w:val="TextocomentarioCar"/>
    <w:uiPriority w:val="99"/>
    <w:unhideWhenUsed/>
    <w:rsid w:val="00D91278"/>
    <w:pPr>
      <w:spacing w:after="200" w:line="276" w:lineRule="auto"/>
    </w:pPr>
    <w:rPr>
      <w:rFonts w:ascii="Calibri" w:hAnsi="Calibri" w:cs="Calibri"/>
      <w:sz w:val="20"/>
      <w:szCs w:val="20"/>
      <w:lang w:eastAsia="en-US"/>
    </w:rPr>
  </w:style>
  <w:style w:type="character" w:customStyle="1" w:styleId="TextocomentarioCar">
    <w:name w:val="Texto comentario Car"/>
    <w:basedOn w:val="Fuentedeprrafopredeter"/>
    <w:link w:val="Textocomentario"/>
    <w:rsid w:val="00D91278"/>
    <w:rPr>
      <w:rFonts w:ascii="Calibri" w:eastAsia="Times New Roman" w:hAnsi="Calibri" w:cs="Calibri"/>
      <w:kern w:val="0"/>
      <w:sz w:val="20"/>
      <w:szCs w:val="20"/>
      <w:lang w:eastAsia="en-US"/>
      <w14:ligatures w14:val="none"/>
    </w:rPr>
  </w:style>
  <w:style w:type="paragraph" w:styleId="Asuntodelcomentario">
    <w:name w:val="annotation subject"/>
    <w:basedOn w:val="Textocomentario"/>
    <w:next w:val="Textocomentario"/>
    <w:link w:val="AsuntodelcomentarioCar"/>
    <w:semiHidden/>
    <w:unhideWhenUsed/>
    <w:rsid w:val="00D91278"/>
    <w:rPr>
      <w:b/>
      <w:bCs/>
    </w:rPr>
  </w:style>
  <w:style w:type="character" w:customStyle="1" w:styleId="AsuntodelcomentarioCar">
    <w:name w:val="Asunto del comentario Car"/>
    <w:basedOn w:val="TextocomentarioCar"/>
    <w:link w:val="Asuntodelcomentario"/>
    <w:semiHidden/>
    <w:rsid w:val="00D91278"/>
    <w:rPr>
      <w:rFonts w:ascii="Calibri" w:eastAsia="Times New Roman" w:hAnsi="Calibri" w:cs="Calibri"/>
      <w:b/>
      <w:bCs/>
      <w:kern w:val="0"/>
      <w:sz w:val="20"/>
      <w:szCs w:val="20"/>
      <w:lang w:eastAsia="en-US"/>
      <w14:ligatures w14:val="none"/>
    </w:rPr>
  </w:style>
  <w:style w:type="paragraph" w:customStyle="1" w:styleId="Default">
    <w:name w:val="Default"/>
    <w:link w:val="DefaultCar"/>
    <w:qFormat/>
    <w:rsid w:val="00D91278"/>
    <w:pPr>
      <w:autoSpaceDE w:val="0"/>
      <w:autoSpaceDN w:val="0"/>
      <w:adjustRightInd w:val="0"/>
      <w:spacing w:after="0" w:line="240" w:lineRule="auto"/>
    </w:pPr>
    <w:rPr>
      <w:rFonts w:ascii="Calibri" w:eastAsia="Calibri" w:hAnsi="Calibri" w:cs="Calibri"/>
      <w:color w:val="000000"/>
      <w:kern w:val="0"/>
      <w:sz w:val="24"/>
      <w:szCs w:val="24"/>
      <w:lang w:eastAsia="en-US"/>
      <w14:ligatures w14:val="none"/>
    </w:rPr>
  </w:style>
  <w:style w:type="character" w:customStyle="1" w:styleId="DefaultCar">
    <w:name w:val="Default Car"/>
    <w:link w:val="Default"/>
    <w:locked/>
    <w:rsid w:val="00D91278"/>
    <w:rPr>
      <w:rFonts w:ascii="Calibri" w:eastAsia="Calibri" w:hAnsi="Calibri" w:cs="Calibri"/>
      <w:color w:val="000000"/>
      <w:kern w:val="0"/>
      <w:sz w:val="24"/>
      <w:szCs w:val="24"/>
      <w:lang w:eastAsia="en-US"/>
      <w14:ligatures w14:val="none"/>
    </w:rPr>
  </w:style>
  <w:style w:type="paragraph" w:customStyle="1" w:styleId="Sinespaciado1">
    <w:name w:val="Sin espaciado1"/>
    <w:rsid w:val="00D91278"/>
    <w:pPr>
      <w:spacing w:after="0" w:line="240" w:lineRule="auto"/>
    </w:pPr>
    <w:rPr>
      <w:rFonts w:ascii="Calibri" w:eastAsia="Times New Roman" w:hAnsi="Calibri" w:cs="Times New Roman"/>
      <w:kern w:val="0"/>
      <w:lang w:val="en-US" w:eastAsia="en-US"/>
      <w14:ligatures w14:val="none"/>
    </w:rPr>
  </w:style>
  <w:style w:type="character" w:customStyle="1" w:styleId="eop">
    <w:name w:val="eop"/>
    <w:rsid w:val="00D91278"/>
  </w:style>
  <w:style w:type="character" w:customStyle="1" w:styleId="TextonotaalfinalCar">
    <w:name w:val="Texto nota al final Car"/>
    <w:basedOn w:val="Fuentedeprrafopredeter"/>
    <w:link w:val="Textonotaalfinal"/>
    <w:uiPriority w:val="99"/>
    <w:semiHidden/>
    <w:rsid w:val="00D91278"/>
  </w:style>
  <w:style w:type="paragraph" w:styleId="Textonotaalfinal">
    <w:name w:val="endnote text"/>
    <w:basedOn w:val="Normal"/>
    <w:link w:val="TextonotaalfinalCar"/>
    <w:uiPriority w:val="99"/>
    <w:semiHidden/>
    <w:unhideWhenUsed/>
    <w:rsid w:val="00D91278"/>
  </w:style>
  <w:style w:type="character" w:customStyle="1" w:styleId="TextonotaalfinalCar1">
    <w:name w:val="Texto nota al final Car1"/>
    <w:basedOn w:val="Fuentedeprrafopredeter"/>
    <w:semiHidden/>
    <w:rsid w:val="00D91278"/>
    <w:rPr>
      <w:sz w:val="20"/>
      <w:szCs w:val="20"/>
    </w:rPr>
  </w:style>
  <w:style w:type="character" w:customStyle="1" w:styleId="elementtoproof">
    <w:name w:val="elementtoproof"/>
    <w:basedOn w:val="Fuentedeprrafopredeter"/>
    <w:rsid w:val="00D91278"/>
  </w:style>
  <w:style w:type="table" w:customStyle="1" w:styleId="TableNormal1">
    <w:name w:val="Table Normal1"/>
    <w:uiPriority w:val="2"/>
    <w:semiHidden/>
    <w:unhideWhenUsed/>
    <w:qFormat/>
    <w:rsid w:val="00D91278"/>
    <w:pPr>
      <w:widowControl w:val="0"/>
      <w:autoSpaceDE w:val="0"/>
      <w:autoSpaceDN w:val="0"/>
      <w:spacing w:after="0" w:line="240" w:lineRule="auto"/>
    </w:pPr>
    <w:rPr>
      <w:rFonts w:eastAsiaTheme="minorHAnsi"/>
      <w:kern w:val="0"/>
      <w:lang w:val="en-US" w:eastAsia="en-US"/>
      <w14:ligatures w14:val="none"/>
    </w:rPr>
    <w:tblPr>
      <w:tblInd w:w="0" w:type="dxa"/>
      <w:tblCellMar>
        <w:top w:w="0" w:type="dxa"/>
        <w:left w:w="0" w:type="dxa"/>
        <w:bottom w:w="0" w:type="dxa"/>
        <w:right w:w="0" w:type="dxa"/>
      </w:tblCellMar>
    </w:tblPr>
  </w:style>
  <w:style w:type="character" w:styleId="Refdenotaalfinal">
    <w:name w:val="endnote reference"/>
    <w:basedOn w:val="Fuentedeprrafopredeter"/>
    <w:semiHidden/>
    <w:unhideWhenUsed/>
    <w:rsid w:val="00D91278"/>
    <w:rPr>
      <w:vertAlign w:val="superscript"/>
    </w:rPr>
  </w:style>
  <w:style w:type="table" w:customStyle="1" w:styleId="TableNormal2">
    <w:name w:val="Table Normal2"/>
    <w:uiPriority w:val="2"/>
    <w:semiHidden/>
    <w:unhideWhenUsed/>
    <w:qFormat/>
    <w:rsid w:val="00D91278"/>
    <w:pPr>
      <w:widowControl w:val="0"/>
      <w:autoSpaceDE w:val="0"/>
      <w:autoSpaceDN w:val="0"/>
      <w:spacing w:after="0" w:line="240" w:lineRule="auto"/>
    </w:pPr>
    <w:rPr>
      <w:rFonts w:eastAsiaTheme="minorHAnsi"/>
      <w:kern w:val="0"/>
      <w:lang w:val="en-US" w:eastAsia="en-US"/>
      <w14:ligatures w14:val="none"/>
    </w:rPr>
    <w:tblPr>
      <w:tblInd w:w="0" w:type="dxa"/>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3544C3"/>
    <w:pPr>
      <w:spacing w:after="0" w:line="254" w:lineRule="auto"/>
    </w:pPr>
    <w:rPr>
      <w:rFonts w:ascii="Calibri" w:eastAsia="Calibri" w:hAnsi="Calibri" w:cs="Calibri"/>
      <w:color w:val="000000"/>
      <w:sz w:val="14"/>
      <w:szCs w:val="24"/>
      <w:lang w:eastAsia="es-MX"/>
    </w:rPr>
  </w:style>
  <w:style w:type="character" w:customStyle="1" w:styleId="footnotedescriptionChar">
    <w:name w:val="footnote description Char"/>
    <w:link w:val="footnotedescription"/>
    <w:rsid w:val="003544C3"/>
    <w:rPr>
      <w:rFonts w:ascii="Calibri" w:eastAsia="Calibri" w:hAnsi="Calibri" w:cs="Calibri"/>
      <w:color w:val="000000"/>
      <w:sz w:val="14"/>
      <w:szCs w:val="24"/>
      <w:lang w:eastAsia="es-MX"/>
    </w:rPr>
  </w:style>
  <w:style w:type="character" w:customStyle="1" w:styleId="footnotemark">
    <w:name w:val="footnote mark"/>
    <w:hidden/>
    <w:rsid w:val="003544C3"/>
    <w:rPr>
      <w:rFonts w:ascii="Trebuchet MS" w:eastAsia="Trebuchet MS" w:hAnsi="Trebuchet MS" w:cs="Trebuchet MS"/>
      <w:color w:val="000000"/>
      <w:sz w:val="14"/>
      <w:vertAlign w:val="superscript"/>
    </w:rPr>
  </w:style>
  <w:style w:type="table" w:customStyle="1" w:styleId="TableGrid">
    <w:name w:val="TableGrid"/>
    <w:rsid w:val="00CC1FA6"/>
    <w:pPr>
      <w:spacing w:after="0" w:line="240" w:lineRule="auto"/>
    </w:pPr>
    <w:rPr>
      <w:sz w:val="24"/>
      <w:szCs w:val="24"/>
      <w:lang w:eastAsia="es-MX"/>
    </w:rPr>
    <w:tblPr>
      <w:tblCellMar>
        <w:top w:w="0" w:type="dxa"/>
        <w:left w:w="0" w:type="dxa"/>
        <w:bottom w:w="0" w:type="dxa"/>
        <w:right w:w="0" w:type="dxa"/>
      </w:tblCellMar>
    </w:tblPr>
  </w:style>
  <w:style w:type="character" w:customStyle="1" w:styleId="Mencinsinresolver2">
    <w:name w:val="Mención sin resolver2"/>
    <w:basedOn w:val="Fuentedeprrafopredeter"/>
    <w:uiPriority w:val="99"/>
    <w:semiHidden/>
    <w:unhideWhenUsed/>
    <w:rsid w:val="00231762"/>
    <w:rPr>
      <w:color w:val="605E5C"/>
      <w:shd w:val="clear" w:color="auto" w:fill="E1DFDD"/>
    </w:rPr>
  </w:style>
  <w:style w:type="paragraph" w:styleId="Textonotapie">
    <w:name w:val="footnote text"/>
    <w:basedOn w:val="Normal"/>
    <w:link w:val="TextonotapieCar"/>
    <w:uiPriority w:val="99"/>
    <w:semiHidden/>
    <w:unhideWhenUsed/>
    <w:rsid w:val="00535DB2"/>
    <w:rPr>
      <w:sz w:val="20"/>
      <w:szCs w:val="20"/>
    </w:rPr>
  </w:style>
  <w:style w:type="character" w:customStyle="1" w:styleId="TextonotapieCar">
    <w:name w:val="Texto nota pie Car"/>
    <w:basedOn w:val="Fuentedeprrafopredeter"/>
    <w:link w:val="Textonotapie"/>
    <w:uiPriority w:val="99"/>
    <w:semiHidden/>
    <w:rsid w:val="00535DB2"/>
    <w:rPr>
      <w:rFonts w:ascii="Times New Roman" w:eastAsia="Times New Roman" w:hAnsi="Times New Roman" w:cs="Times New Roman"/>
      <w:kern w:val="0"/>
      <w:sz w:val="20"/>
      <w:szCs w:val="20"/>
      <w:lang w:eastAsia="es-MX"/>
      <w14:ligatures w14:val="none"/>
    </w:rPr>
  </w:style>
  <w:style w:type="character" w:styleId="Refdenotaalpie">
    <w:name w:val="footnote reference"/>
    <w:aliases w:val="Texto de nota al pie,referencia nota al pie,Ref. de nota al pie2,Nota de pie,Referencia nota al pie,BVI fnr,BVI fnr Car Car,BVI fnr Car,BVI fnr Car Car Car Car,Ref,de nota al pie,4_G"/>
    <w:basedOn w:val="Fuentedeprrafopredeter"/>
    <w:unhideWhenUsed/>
    <w:qFormat/>
    <w:rsid w:val="00535DB2"/>
    <w:rPr>
      <w:vertAlign w:val="superscript"/>
    </w:rPr>
  </w:style>
  <w:style w:type="paragraph" w:styleId="Revisin">
    <w:name w:val="Revision"/>
    <w:hidden/>
    <w:uiPriority w:val="99"/>
    <w:semiHidden/>
    <w:rsid w:val="00810740"/>
    <w:pPr>
      <w:spacing w:after="0" w:line="240" w:lineRule="auto"/>
    </w:pPr>
    <w:rPr>
      <w:rFonts w:ascii="Times New Roman" w:eastAsia="Times New Roman" w:hAnsi="Times New Roman" w:cs="Times New Roman"/>
      <w:kern w:val="0"/>
      <w:sz w:val="24"/>
      <w:szCs w:val="24"/>
      <w:lang w:eastAsia="es-MX"/>
      <w14:ligatures w14:val="none"/>
    </w:rPr>
  </w:style>
  <w:style w:type="character" w:customStyle="1" w:styleId="TextocomentarioCar1">
    <w:name w:val="Texto comentario Car1"/>
    <w:uiPriority w:val="99"/>
    <w:rsid w:val="00DF710A"/>
    <w:rPr>
      <w:sz w:val="20"/>
    </w:rPr>
  </w:style>
  <w:style w:type="character" w:customStyle="1" w:styleId="vortaltagspan">
    <w:name w:val="vortaltagspan"/>
    <w:basedOn w:val="Fuentedeprrafopredeter"/>
    <w:rsid w:val="001F72EA"/>
  </w:style>
  <w:style w:type="character" w:customStyle="1" w:styleId="Mencinsinresolver3">
    <w:name w:val="Mención sin resolver3"/>
    <w:basedOn w:val="Fuentedeprrafopredeter"/>
    <w:uiPriority w:val="99"/>
    <w:semiHidden/>
    <w:unhideWhenUsed/>
    <w:rsid w:val="00696C1A"/>
    <w:rPr>
      <w:color w:val="605E5C"/>
      <w:shd w:val="clear" w:color="auto" w:fill="E1DFDD"/>
    </w:rPr>
  </w:style>
  <w:style w:type="table" w:customStyle="1" w:styleId="Tablaconcuadrcula1">
    <w:name w:val="Tabla con cuadrícula1"/>
    <w:basedOn w:val="Tablanormal"/>
    <w:next w:val="Tablaconcuadrcula"/>
    <w:uiPriority w:val="59"/>
    <w:rsid w:val="00666B4B"/>
    <w:pPr>
      <w:spacing w:after="0" w:line="240" w:lineRule="auto"/>
    </w:pPr>
    <w:rPr>
      <w:kern w:val="0"/>
      <w:lang w:val="en-US"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FB5C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11069">
      <w:bodyDiv w:val="1"/>
      <w:marLeft w:val="0"/>
      <w:marRight w:val="0"/>
      <w:marTop w:val="0"/>
      <w:marBottom w:val="0"/>
      <w:divBdr>
        <w:top w:val="none" w:sz="0" w:space="0" w:color="auto"/>
        <w:left w:val="none" w:sz="0" w:space="0" w:color="auto"/>
        <w:bottom w:val="none" w:sz="0" w:space="0" w:color="auto"/>
        <w:right w:val="none" w:sz="0" w:space="0" w:color="auto"/>
      </w:divBdr>
    </w:div>
    <w:div w:id="42870509">
      <w:bodyDiv w:val="1"/>
      <w:marLeft w:val="0"/>
      <w:marRight w:val="0"/>
      <w:marTop w:val="0"/>
      <w:marBottom w:val="0"/>
      <w:divBdr>
        <w:top w:val="none" w:sz="0" w:space="0" w:color="auto"/>
        <w:left w:val="none" w:sz="0" w:space="0" w:color="auto"/>
        <w:bottom w:val="none" w:sz="0" w:space="0" w:color="auto"/>
        <w:right w:val="none" w:sz="0" w:space="0" w:color="auto"/>
      </w:divBdr>
    </w:div>
    <w:div w:id="93405263">
      <w:bodyDiv w:val="1"/>
      <w:marLeft w:val="0"/>
      <w:marRight w:val="0"/>
      <w:marTop w:val="0"/>
      <w:marBottom w:val="0"/>
      <w:divBdr>
        <w:top w:val="none" w:sz="0" w:space="0" w:color="auto"/>
        <w:left w:val="none" w:sz="0" w:space="0" w:color="auto"/>
        <w:bottom w:val="none" w:sz="0" w:space="0" w:color="auto"/>
        <w:right w:val="none" w:sz="0" w:space="0" w:color="auto"/>
      </w:divBdr>
    </w:div>
    <w:div w:id="98642957">
      <w:bodyDiv w:val="1"/>
      <w:marLeft w:val="0"/>
      <w:marRight w:val="0"/>
      <w:marTop w:val="0"/>
      <w:marBottom w:val="0"/>
      <w:divBdr>
        <w:top w:val="none" w:sz="0" w:space="0" w:color="auto"/>
        <w:left w:val="none" w:sz="0" w:space="0" w:color="auto"/>
        <w:bottom w:val="none" w:sz="0" w:space="0" w:color="auto"/>
        <w:right w:val="none" w:sz="0" w:space="0" w:color="auto"/>
      </w:divBdr>
    </w:div>
    <w:div w:id="104543537">
      <w:bodyDiv w:val="1"/>
      <w:marLeft w:val="0"/>
      <w:marRight w:val="0"/>
      <w:marTop w:val="0"/>
      <w:marBottom w:val="0"/>
      <w:divBdr>
        <w:top w:val="none" w:sz="0" w:space="0" w:color="auto"/>
        <w:left w:val="none" w:sz="0" w:space="0" w:color="auto"/>
        <w:bottom w:val="none" w:sz="0" w:space="0" w:color="auto"/>
        <w:right w:val="none" w:sz="0" w:space="0" w:color="auto"/>
      </w:divBdr>
    </w:div>
    <w:div w:id="112940121">
      <w:bodyDiv w:val="1"/>
      <w:marLeft w:val="0"/>
      <w:marRight w:val="0"/>
      <w:marTop w:val="0"/>
      <w:marBottom w:val="0"/>
      <w:divBdr>
        <w:top w:val="none" w:sz="0" w:space="0" w:color="auto"/>
        <w:left w:val="none" w:sz="0" w:space="0" w:color="auto"/>
        <w:bottom w:val="none" w:sz="0" w:space="0" w:color="auto"/>
        <w:right w:val="none" w:sz="0" w:space="0" w:color="auto"/>
      </w:divBdr>
    </w:div>
    <w:div w:id="130826606">
      <w:bodyDiv w:val="1"/>
      <w:marLeft w:val="0"/>
      <w:marRight w:val="0"/>
      <w:marTop w:val="0"/>
      <w:marBottom w:val="0"/>
      <w:divBdr>
        <w:top w:val="none" w:sz="0" w:space="0" w:color="auto"/>
        <w:left w:val="none" w:sz="0" w:space="0" w:color="auto"/>
        <w:bottom w:val="none" w:sz="0" w:space="0" w:color="auto"/>
        <w:right w:val="none" w:sz="0" w:space="0" w:color="auto"/>
      </w:divBdr>
    </w:div>
    <w:div w:id="175583557">
      <w:bodyDiv w:val="1"/>
      <w:marLeft w:val="0"/>
      <w:marRight w:val="0"/>
      <w:marTop w:val="0"/>
      <w:marBottom w:val="0"/>
      <w:divBdr>
        <w:top w:val="none" w:sz="0" w:space="0" w:color="auto"/>
        <w:left w:val="none" w:sz="0" w:space="0" w:color="auto"/>
        <w:bottom w:val="none" w:sz="0" w:space="0" w:color="auto"/>
        <w:right w:val="none" w:sz="0" w:space="0" w:color="auto"/>
      </w:divBdr>
    </w:div>
    <w:div w:id="198469977">
      <w:bodyDiv w:val="1"/>
      <w:marLeft w:val="0"/>
      <w:marRight w:val="0"/>
      <w:marTop w:val="0"/>
      <w:marBottom w:val="0"/>
      <w:divBdr>
        <w:top w:val="none" w:sz="0" w:space="0" w:color="auto"/>
        <w:left w:val="none" w:sz="0" w:space="0" w:color="auto"/>
        <w:bottom w:val="none" w:sz="0" w:space="0" w:color="auto"/>
        <w:right w:val="none" w:sz="0" w:space="0" w:color="auto"/>
      </w:divBdr>
    </w:div>
    <w:div w:id="212429345">
      <w:bodyDiv w:val="1"/>
      <w:marLeft w:val="0"/>
      <w:marRight w:val="0"/>
      <w:marTop w:val="0"/>
      <w:marBottom w:val="0"/>
      <w:divBdr>
        <w:top w:val="none" w:sz="0" w:space="0" w:color="auto"/>
        <w:left w:val="none" w:sz="0" w:space="0" w:color="auto"/>
        <w:bottom w:val="none" w:sz="0" w:space="0" w:color="auto"/>
        <w:right w:val="none" w:sz="0" w:space="0" w:color="auto"/>
      </w:divBdr>
    </w:div>
    <w:div w:id="219555457">
      <w:bodyDiv w:val="1"/>
      <w:marLeft w:val="0"/>
      <w:marRight w:val="0"/>
      <w:marTop w:val="0"/>
      <w:marBottom w:val="0"/>
      <w:divBdr>
        <w:top w:val="none" w:sz="0" w:space="0" w:color="auto"/>
        <w:left w:val="none" w:sz="0" w:space="0" w:color="auto"/>
        <w:bottom w:val="none" w:sz="0" w:space="0" w:color="auto"/>
        <w:right w:val="none" w:sz="0" w:space="0" w:color="auto"/>
      </w:divBdr>
    </w:div>
    <w:div w:id="261114020">
      <w:bodyDiv w:val="1"/>
      <w:marLeft w:val="0"/>
      <w:marRight w:val="0"/>
      <w:marTop w:val="0"/>
      <w:marBottom w:val="0"/>
      <w:divBdr>
        <w:top w:val="none" w:sz="0" w:space="0" w:color="auto"/>
        <w:left w:val="none" w:sz="0" w:space="0" w:color="auto"/>
        <w:bottom w:val="none" w:sz="0" w:space="0" w:color="auto"/>
        <w:right w:val="none" w:sz="0" w:space="0" w:color="auto"/>
      </w:divBdr>
    </w:div>
    <w:div w:id="287472466">
      <w:bodyDiv w:val="1"/>
      <w:marLeft w:val="0"/>
      <w:marRight w:val="0"/>
      <w:marTop w:val="0"/>
      <w:marBottom w:val="0"/>
      <w:divBdr>
        <w:top w:val="none" w:sz="0" w:space="0" w:color="auto"/>
        <w:left w:val="none" w:sz="0" w:space="0" w:color="auto"/>
        <w:bottom w:val="none" w:sz="0" w:space="0" w:color="auto"/>
        <w:right w:val="none" w:sz="0" w:space="0" w:color="auto"/>
      </w:divBdr>
    </w:div>
    <w:div w:id="301035230">
      <w:bodyDiv w:val="1"/>
      <w:marLeft w:val="0"/>
      <w:marRight w:val="0"/>
      <w:marTop w:val="0"/>
      <w:marBottom w:val="0"/>
      <w:divBdr>
        <w:top w:val="none" w:sz="0" w:space="0" w:color="auto"/>
        <w:left w:val="none" w:sz="0" w:space="0" w:color="auto"/>
        <w:bottom w:val="none" w:sz="0" w:space="0" w:color="auto"/>
        <w:right w:val="none" w:sz="0" w:space="0" w:color="auto"/>
      </w:divBdr>
    </w:div>
    <w:div w:id="313684516">
      <w:bodyDiv w:val="1"/>
      <w:marLeft w:val="0"/>
      <w:marRight w:val="0"/>
      <w:marTop w:val="0"/>
      <w:marBottom w:val="0"/>
      <w:divBdr>
        <w:top w:val="none" w:sz="0" w:space="0" w:color="auto"/>
        <w:left w:val="none" w:sz="0" w:space="0" w:color="auto"/>
        <w:bottom w:val="none" w:sz="0" w:space="0" w:color="auto"/>
        <w:right w:val="none" w:sz="0" w:space="0" w:color="auto"/>
      </w:divBdr>
    </w:div>
    <w:div w:id="328336170">
      <w:bodyDiv w:val="1"/>
      <w:marLeft w:val="0"/>
      <w:marRight w:val="0"/>
      <w:marTop w:val="0"/>
      <w:marBottom w:val="0"/>
      <w:divBdr>
        <w:top w:val="none" w:sz="0" w:space="0" w:color="auto"/>
        <w:left w:val="none" w:sz="0" w:space="0" w:color="auto"/>
        <w:bottom w:val="none" w:sz="0" w:space="0" w:color="auto"/>
        <w:right w:val="none" w:sz="0" w:space="0" w:color="auto"/>
      </w:divBdr>
    </w:div>
    <w:div w:id="363098876">
      <w:bodyDiv w:val="1"/>
      <w:marLeft w:val="0"/>
      <w:marRight w:val="0"/>
      <w:marTop w:val="0"/>
      <w:marBottom w:val="0"/>
      <w:divBdr>
        <w:top w:val="none" w:sz="0" w:space="0" w:color="auto"/>
        <w:left w:val="none" w:sz="0" w:space="0" w:color="auto"/>
        <w:bottom w:val="none" w:sz="0" w:space="0" w:color="auto"/>
        <w:right w:val="none" w:sz="0" w:space="0" w:color="auto"/>
      </w:divBdr>
    </w:div>
    <w:div w:id="411395001">
      <w:bodyDiv w:val="1"/>
      <w:marLeft w:val="0"/>
      <w:marRight w:val="0"/>
      <w:marTop w:val="0"/>
      <w:marBottom w:val="0"/>
      <w:divBdr>
        <w:top w:val="none" w:sz="0" w:space="0" w:color="auto"/>
        <w:left w:val="none" w:sz="0" w:space="0" w:color="auto"/>
        <w:bottom w:val="none" w:sz="0" w:space="0" w:color="auto"/>
        <w:right w:val="none" w:sz="0" w:space="0" w:color="auto"/>
      </w:divBdr>
    </w:div>
    <w:div w:id="430783439">
      <w:bodyDiv w:val="1"/>
      <w:marLeft w:val="0"/>
      <w:marRight w:val="0"/>
      <w:marTop w:val="0"/>
      <w:marBottom w:val="0"/>
      <w:divBdr>
        <w:top w:val="none" w:sz="0" w:space="0" w:color="auto"/>
        <w:left w:val="none" w:sz="0" w:space="0" w:color="auto"/>
        <w:bottom w:val="none" w:sz="0" w:space="0" w:color="auto"/>
        <w:right w:val="none" w:sz="0" w:space="0" w:color="auto"/>
      </w:divBdr>
    </w:div>
    <w:div w:id="443577503">
      <w:bodyDiv w:val="1"/>
      <w:marLeft w:val="0"/>
      <w:marRight w:val="0"/>
      <w:marTop w:val="0"/>
      <w:marBottom w:val="0"/>
      <w:divBdr>
        <w:top w:val="none" w:sz="0" w:space="0" w:color="auto"/>
        <w:left w:val="none" w:sz="0" w:space="0" w:color="auto"/>
        <w:bottom w:val="none" w:sz="0" w:space="0" w:color="auto"/>
        <w:right w:val="none" w:sz="0" w:space="0" w:color="auto"/>
      </w:divBdr>
    </w:div>
    <w:div w:id="467237067">
      <w:bodyDiv w:val="1"/>
      <w:marLeft w:val="0"/>
      <w:marRight w:val="0"/>
      <w:marTop w:val="0"/>
      <w:marBottom w:val="0"/>
      <w:divBdr>
        <w:top w:val="none" w:sz="0" w:space="0" w:color="auto"/>
        <w:left w:val="none" w:sz="0" w:space="0" w:color="auto"/>
        <w:bottom w:val="none" w:sz="0" w:space="0" w:color="auto"/>
        <w:right w:val="none" w:sz="0" w:space="0" w:color="auto"/>
      </w:divBdr>
    </w:div>
    <w:div w:id="480510116">
      <w:bodyDiv w:val="1"/>
      <w:marLeft w:val="0"/>
      <w:marRight w:val="0"/>
      <w:marTop w:val="0"/>
      <w:marBottom w:val="0"/>
      <w:divBdr>
        <w:top w:val="none" w:sz="0" w:space="0" w:color="auto"/>
        <w:left w:val="none" w:sz="0" w:space="0" w:color="auto"/>
        <w:bottom w:val="none" w:sz="0" w:space="0" w:color="auto"/>
        <w:right w:val="none" w:sz="0" w:space="0" w:color="auto"/>
      </w:divBdr>
    </w:div>
    <w:div w:id="499661721">
      <w:bodyDiv w:val="1"/>
      <w:marLeft w:val="0"/>
      <w:marRight w:val="0"/>
      <w:marTop w:val="0"/>
      <w:marBottom w:val="0"/>
      <w:divBdr>
        <w:top w:val="none" w:sz="0" w:space="0" w:color="auto"/>
        <w:left w:val="none" w:sz="0" w:space="0" w:color="auto"/>
        <w:bottom w:val="none" w:sz="0" w:space="0" w:color="auto"/>
        <w:right w:val="none" w:sz="0" w:space="0" w:color="auto"/>
      </w:divBdr>
    </w:div>
    <w:div w:id="514424164">
      <w:bodyDiv w:val="1"/>
      <w:marLeft w:val="0"/>
      <w:marRight w:val="0"/>
      <w:marTop w:val="0"/>
      <w:marBottom w:val="0"/>
      <w:divBdr>
        <w:top w:val="none" w:sz="0" w:space="0" w:color="auto"/>
        <w:left w:val="none" w:sz="0" w:space="0" w:color="auto"/>
        <w:bottom w:val="none" w:sz="0" w:space="0" w:color="auto"/>
        <w:right w:val="none" w:sz="0" w:space="0" w:color="auto"/>
      </w:divBdr>
    </w:div>
    <w:div w:id="535772178">
      <w:bodyDiv w:val="1"/>
      <w:marLeft w:val="0"/>
      <w:marRight w:val="0"/>
      <w:marTop w:val="0"/>
      <w:marBottom w:val="0"/>
      <w:divBdr>
        <w:top w:val="none" w:sz="0" w:space="0" w:color="auto"/>
        <w:left w:val="none" w:sz="0" w:space="0" w:color="auto"/>
        <w:bottom w:val="none" w:sz="0" w:space="0" w:color="auto"/>
        <w:right w:val="none" w:sz="0" w:space="0" w:color="auto"/>
      </w:divBdr>
    </w:div>
    <w:div w:id="546262743">
      <w:bodyDiv w:val="1"/>
      <w:marLeft w:val="0"/>
      <w:marRight w:val="0"/>
      <w:marTop w:val="0"/>
      <w:marBottom w:val="0"/>
      <w:divBdr>
        <w:top w:val="none" w:sz="0" w:space="0" w:color="auto"/>
        <w:left w:val="none" w:sz="0" w:space="0" w:color="auto"/>
        <w:bottom w:val="none" w:sz="0" w:space="0" w:color="auto"/>
        <w:right w:val="none" w:sz="0" w:space="0" w:color="auto"/>
      </w:divBdr>
    </w:div>
    <w:div w:id="565267254">
      <w:bodyDiv w:val="1"/>
      <w:marLeft w:val="0"/>
      <w:marRight w:val="0"/>
      <w:marTop w:val="0"/>
      <w:marBottom w:val="0"/>
      <w:divBdr>
        <w:top w:val="none" w:sz="0" w:space="0" w:color="auto"/>
        <w:left w:val="none" w:sz="0" w:space="0" w:color="auto"/>
        <w:bottom w:val="none" w:sz="0" w:space="0" w:color="auto"/>
        <w:right w:val="none" w:sz="0" w:space="0" w:color="auto"/>
      </w:divBdr>
    </w:div>
    <w:div w:id="570844676">
      <w:bodyDiv w:val="1"/>
      <w:marLeft w:val="0"/>
      <w:marRight w:val="0"/>
      <w:marTop w:val="0"/>
      <w:marBottom w:val="0"/>
      <w:divBdr>
        <w:top w:val="none" w:sz="0" w:space="0" w:color="auto"/>
        <w:left w:val="none" w:sz="0" w:space="0" w:color="auto"/>
        <w:bottom w:val="none" w:sz="0" w:space="0" w:color="auto"/>
        <w:right w:val="none" w:sz="0" w:space="0" w:color="auto"/>
      </w:divBdr>
    </w:div>
    <w:div w:id="571819788">
      <w:bodyDiv w:val="1"/>
      <w:marLeft w:val="0"/>
      <w:marRight w:val="0"/>
      <w:marTop w:val="0"/>
      <w:marBottom w:val="0"/>
      <w:divBdr>
        <w:top w:val="none" w:sz="0" w:space="0" w:color="auto"/>
        <w:left w:val="none" w:sz="0" w:space="0" w:color="auto"/>
        <w:bottom w:val="none" w:sz="0" w:space="0" w:color="auto"/>
        <w:right w:val="none" w:sz="0" w:space="0" w:color="auto"/>
      </w:divBdr>
    </w:div>
    <w:div w:id="579870241">
      <w:bodyDiv w:val="1"/>
      <w:marLeft w:val="0"/>
      <w:marRight w:val="0"/>
      <w:marTop w:val="0"/>
      <w:marBottom w:val="0"/>
      <w:divBdr>
        <w:top w:val="none" w:sz="0" w:space="0" w:color="auto"/>
        <w:left w:val="none" w:sz="0" w:space="0" w:color="auto"/>
        <w:bottom w:val="none" w:sz="0" w:space="0" w:color="auto"/>
        <w:right w:val="none" w:sz="0" w:space="0" w:color="auto"/>
      </w:divBdr>
    </w:div>
    <w:div w:id="580986757">
      <w:bodyDiv w:val="1"/>
      <w:marLeft w:val="0"/>
      <w:marRight w:val="0"/>
      <w:marTop w:val="0"/>
      <w:marBottom w:val="0"/>
      <w:divBdr>
        <w:top w:val="none" w:sz="0" w:space="0" w:color="auto"/>
        <w:left w:val="none" w:sz="0" w:space="0" w:color="auto"/>
        <w:bottom w:val="none" w:sz="0" w:space="0" w:color="auto"/>
        <w:right w:val="none" w:sz="0" w:space="0" w:color="auto"/>
      </w:divBdr>
    </w:div>
    <w:div w:id="613634484">
      <w:bodyDiv w:val="1"/>
      <w:marLeft w:val="0"/>
      <w:marRight w:val="0"/>
      <w:marTop w:val="0"/>
      <w:marBottom w:val="0"/>
      <w:divBdr>
        <w:top w:val="none" w:sz="0" w:space="0" w:color="auto"/>
        <w:left w:val="none" w:sz="0" w:space="0" w:color="auto"/>
        <w:bottom w:val="none" w:sz="0" w:space="0" w:color="auto"/>
        <w:right w:val="none" w:sz="0" w:space="0" w:color="auto"/>
      </w:divBdr>
    </w:div>
    <w:div w:id="648369217">
      <w:bodyDiv w:val="1"/>
      <w:marLeft w:val="0"/>
      <w:marRight w:val="0"/>
      <w:marTop w:val="0"/>
      <w:marBottom w:val="0"/>
      <w:divBdr>
        <w:top w:val="none" w:sz="0" w:space="0" w:color="auto"/>
        <w:left w:val="none" w:sz="0" w:space="0" w:color="auto"/>
        <w:bottom w:val="none" w:sz="0" w:space="0" w:color="auto"/>
        <w:right w:val="none" w:sz="0" w:space="0" w:color="auto"/>
      </w:divBdr>
    </w:div>
    <w:div w:id="708721302">
      <w:bodyDiv w:val="1"/>
      <w:marLeft w:val="0"/>
      <w:marRight w:val="0"/>
      <w:marTop w:val="0"/>
      <w:marBottom w:val="0"/>
      <w:divBdr>
        <w:top w:val="none" w:sz="0" w:space="0" w:color="auto"/>
        <w:left w:val="none" w:sz="0" w:space="0" w:color="auto"/>
        <w:bottom w:val="none" w:sz="0" w:space="0" w:color="auto"/>
        <w:right w:val="none" w:sz="0" w:space="0" w:color="auto"/>
      </w:divBdr>
    </w:div>
    <w:div w:id="743768428">
      <w:bodyDiv w:val="1"/>
      <w:marLeft w:val="0"/>
      <w:marRight w:val="0"/>
      <w:marTop w:val="0"/>
      <w:marBottom w:val="0"/>
      <w:divBdr>
        <w:top w:val="none" w:sz="0" w:space="0" w:color="auto"/>
        <w:left w:val="none" w:sz="0" w:space="0" w:color="auto"/>
        <w:bottom w:val="none" w:sz="0" w:space="0" w:color="auto"/>
        <w:right w:val="none" w:sz="0" w:space="0" w:color="auto"/>
      </w:divBdr>
    </w:div>
    <w:div w:id="784037573">
      <w:bodyDiv w:val="1"/>
      <w:marLeft w:val="0"/>
      <w:marRight w:val="0"/>
      <w:marTop w:val="0"/>
      <w:marBottom w:val="0"/>
      <w:divBdr>
        <w:top w:val="none" w:sz="0" w:space="0" w:color="auto"/>
        <w:left w:val="none" w:sz="0" w:space="0" w:color="auto"/>
        <w:bottom w:val="none" w:sz="0" w:space="0" w:color="auto"/>
        <w:right w:val="none" w:sz="0" w:space="0" w:color="auto"/>
      </w:divBdr>
    </w:div>
    <w:div w:id="871654468">
      <w:bodyDiv w:val="1"/>
      <w:marLeft w:val="0"/>
      <w:marRight w:val="0"/>
      <w:marTop w:val="0"/>
      <w:marBottom w:val="0"/>
      <w:divBdr>
        <w:top w:val="none" w:sz="0" w:space="0" w:color="auto"/>
        <w:left w:val="none" w:sz="0" w:space="0" w:color="auto"/>
        <w:bottom w:val="none" w:sz="0" w:space="0" w:color="auto"/>
        <w:right w:val="none" w:sz="0" w:space="0" w:color="auto"/>
      </w:divBdr>
    </w:div>
    <w:div w:id="885290888">
      <w:bodyDiv w:val="1"/>
      <w:marLeft w:val="0"/>
      <w:marRight w:val="0"/>
      <w:marTop w:val="0"/>
      <w:marBottom w:val="0"/>
      <w:divBdr>
        <w:top w:val="none" w:sz="0" w:space="0" w:color="auto"/>
        <w:left w:val="none" w:sz="0" w:space="0" w:color="auto"/>
        <w:bottom w:val="none" w:sz="0" w:space="0" w:color="auto"/>
        <w:right w:val="none" w:sz="0" w:space="0" w:color="auto"/>
      </w:divBdr>
    </w:div>
    <w:div w:id="899901303">
      <w:bodyDiv w:val="1"/>
      <w:marLeft w:val="0"/>
      <w:marRight w:val="0"/>
      <w:marTop w:val="0"/>
      <w:marBottom w:val="0"/>
      <w:divBdr>
        <w:top w:val="none" w:sz="0" w:space="0" w:color="auto"/>
        <w:left w:val="none" w:sz="0" w:space="0" w:color="auto"/>
        <w:bottom w:val="none" w:sz="0" w:space="0" w:color="auto"/>
        <w:right w:val="none" w:sz="0" w:space="0" w:color="auto"/>
      </w:divBdr>
    </w:div>
    <w:div w:id="939990162">
      <w:bodyDiv w:val="1"/>
      <w:marLeft w:val="0"/>
      <w:marRight w:val="0"/>
      <w:marTop w:val="0"/>
      <w:marBottom w:val="0"/>
      <w:divBdr>
        <w:top w:val="none" w:sz="0" w:space="0" w:color="auto"/>
        <w:left w:val="none" w:sz="0" w:space="0" w:color="auto"/>
        <w:bottom w:val="none" w:sz="0" w:space="0" w:color="auto"/>
        <w:right w:val="none" w:sz="0" w:space="0" w:color="auto"/>
      </w:divBdr>
    </w:div>
    <w:div w:id="980235282">
      <w:bodyDiv w:val="1"/>
      <w:marLeft w:val="0"/>
      <w:marRight w:val="0"/>
      <w:marTop w:val="0"/>
      <w:marBottom w:val="0"/>
      <w:divBdr>
        <w:top w:val="none" w:sz="0" w:space="0" w:color="auto"/>
        <w:left w:val="none" w:sz="0" w:space="0" w:color="auto"/>
        <w:bottom w:val="none" w:sz="0" w:space="0" w:color="auto"/>
        <w:right w:val="none" w:sz="0" w:space="0" w:color="auto"/>
      </w:divBdr>
    </w:div>
    <w:div w:id="982193431">
      <w:bodyDiv w:val="1"/>
      <w:marLeft w:val="0"/>
      <w:marRight w:val="0"/>
      <w:marTop w:val="0"/>
      <w:marBottom w:val="0"/>
      <w:divBdr>
        <w:top w:val="none" w:sz="0" w:space="0" w:color="auto"/>
        <w:left w:val="none" w:sz="0" w:space="0" w:color="auto"/>
        <w:bottom w:val="none" w:sz="0" w:space="0" w:color="auto"/>
        <w:right w:val="none" w:sz="0" w:space="0" w:color="auto"/>
      </w:divBdr>
    </w:div>
    <w:div w:id="1010959183">
      <w:bodyDiv w:val="1"/>
      <w:marLeft w:val="0"/>
      <w:marRight w:val="0"/>
      <w:marTop w:val="0"/>
      <w:marBottom w:val="0"/>
      <w:divBdr>
        <w:top w:val="none" w:sz="0" w:space="0" w:color="auto"/>
        <w:left w:val="none" w:sz="0" w:space="0" w:color="auto"/>
        <w:bottom w:val="none" w:sz="0" w:space="0" w:color="auto"/>
        <w:right w:val="none" w:sz="0" w:space="0" w:color="auto"/>
      </w:divBdr>
    </w:div>
    <w:div w:id="1035930298">
      <w:bodyDiv w:val="1"/>
      <w:marLeft w:val="0"/>
      <w:marRight w:val="0"/>
      <w:marTop w:val="0"/>
      <w:marBottom w:val="0"/>
      <w:divBdr>
        <w:top w:val="none" w:sz="0" w:space="0" w:color="auto"/>
        <w:left w:val="none" w:sz="0" w:space="0" w:color="auto"/>
        <w:bottom w:val="none" w:sz="0" w:space="0" w:color="auto"/>
        <w:right w:val="none" w:sz="0" w:space="0" w:color="auto"/>
      </w:divBdr>
    </w:div>
    <w:div w:id="1043096462">
      <w:bodyDiv w:val="1"/>
      <w:marLeft w:val="0"/>
      <w:marRight w:val="0"/>
      <w:marTop w:val="0"/>
      <w:marBottom w:val="0"/>
      <w:divBdr>
        <w:top w:val="none" w:sz="0" w:space="0" w:color="auto"/>
        <w:left w:val="none" w:sz="0" w:space="0" w:color="auto"/>
        <w:bottom w:val="none" w:sz="0" w:space="0" w:color="auto"/>
        <w:right w:val="none" w:sz="0" w:space="0" w:color="auto"/>
      </w:divBdr>
    </w:div>
    <w:div w:id="1071149941">
      <w:bodyDiv w:val="1"/>
      <w:marLeft w:val="0"/>
      <w:marRight w:val="0"/>
      <w:marTop w:val="0"/>
      <w:marBottom w:val="0"/>
      <w:divBdr>
        <w:top w:val="none" w:sz="0" w:space="0" w:color="auto"/>
        <w:left w:val="none" w:sz="0" w:space="0" w:color="auto"/>
        <w:bottom w:val="none" w:sz="0" w:space="0" w:color="auto"/>
        <w:right w:val="none" w:sz="0" w:space="0" w:color="auto"/>
      </w:divBdr>
    </w:div>
    <w:div w:id="1073577093">
      <w:bodyDiv w:val="1"/>
      <w:marLeft w:val="0"/>
      <w:marRight w:val="0"/>
      <w:marTop w:val="0"/>
      <w:marBottom w:val="0"/>
      <w:divBdr>
        <w:top w:val="none" w:sz="0" w:space="0" w:color="auto"/>
        <w:left w:val="none" w:sz="0" w:space="0" w:color="auto"/>
        <w:bottom w:val="none" w:sz="0" w:space="0" w:color="auto"/>
        <w:right w:val="none" w:sz="0" w:space="0" w:color="auto"/>
      </w:divBdr>
    </w:div>
    <w:div w:id="1082293806">
      <w:bodyDiv w:val="1"/>
      <w:marLeft w:val="0"/>
      <w:marRight w:val="0"/>
      <w:marTop w:val="0"/>
      <w:marBottom w:val="0"/>
      <w:divBdr>
        <w:top w:val="none" w:sz="0" w:space="0" w:color="auto"/>
        <w:left w:val="none" w:sz="0" w:space="0" w:color="auto"/>
        <w:bottom w:val="none" w:sz="0" w:space="0" w:color="auto"/>
        <w:right w:val="none" w:sz="0" w:space="0" w:color="auto"/>
      </w:divBdr>
    </w:div>
    <w:div w:id="1088431610">
      <w:bodyDiv w:val="1"/>
      <w:marLeft w:val="0"/>
      <w:marRight w:val="0"/>
      <w:marTop w:val="0"/>
      <w:marBottom w:val="0"/>
      <w:divBdr>
        <w:top w:val="none" w:sz="0" w:space="0" w:color="auto"/>
        <w:left w:val="none" w:sz="0" w:space="0" w:color="auto"/>
        <w:bottom w:val="none" w:sz="0" w:space="0" w:color="auto"/>
        <w:right w:val="none" w:sz="0" w:space="0" w:color="auto"/>
      </w:divBdr>
    </w:div>
    <w:div w:id="1108935920">
      <w:bodyDiv w:val="1"/>
      <w:marLeft w:val="0"/>
      <w:marRight w:val="0"/>
      <w:marTop w:val="0"/>
      <w:marBottom w:val="0"/>
      <w:divBdr>
        <w:top w:val="none" w:sz="0" w:space="0" w:color="auto"/>
        <w:left w:val="none" w:sz="0" w:space="0" w:color="auto"/>
        <w:bottom w:val="none" w:sz="0" w:space="0" w:color="auto"/>
        <w:right w:val="none" w:sz="0" w:space="0" w:color="auto"/>
      </w:divBdr>
    </w:div>
    <w:div w:id="1125272415">
      <w:bodyDiv w:val="1"/>
      <w:marLeft w:val="0"/>
      <w:marRight w:val="0"/>
      <w:marTop w:val="0"/>
      <w:marBottom w:val="0"/>
      <w:divBdr>
        <w:top w:val="none" w:sz="0" w:space="0" w:color="auto"/>
        <w:left w:val="none" w:sz="0" w:space="0" w:color="auto"/>
        <w:bottom w:val="none" w:sz="0" w:space="0" w:color="auto"/>
        <w:right w:val="none" w:sz="0" w:space="0" w:color="auto"/>
      </w:divBdr>
    </w:div>
    <w:div w:id="1134055512">
      <w:bodyDiv w:val="1"/>
      <w:marLeft w:val="0"/>
      <w:marRight w:val="0"/>
      <w:marTop w:val="0"/>
      <w:marBottom w:val="0"/>
      <w:divBdr>
        <w:top w:val="none" w:sz="0" w:space="0" w:color="auto"/>
        <w:left w:val="none" w:sz="0" w:space="0" w:color="auto"/>
        <w:bottom w:val="none" w:sz="0" w:space="0" w:color="auto"/>
        <w:right w:val="none" w:sz="0" w:space="0" w:color="auto"/>
      </w:divBdr>
    </w:div>
    <w:div w:id="1135215427">
      <w:bodyDiv w:val="1"/>
      <w:marLeft w:val="0"/>
      <w:marRight w:val="0"/>
      <w:marTop w:val="0"/>
      <w:marBottom w:val="0"/>
      <w:divBdr>
        <w:top w:val="none" w:sz="0" w:space="0" w:color="auto"/>
        <w:left w:val="none" w:sz="0" w:space="0" w:color="auto"/>
        <w:bottom w:val="none" w:sz="0" w:space="0" w:color="auto"/>
        <w:right w:val="none" w:sz="0" w:space="0" w:color="auto"/>
      </w:divBdr>
    </w:div>
    <w:div w:id="1143742692">
      <w:bodyDiv w:val="1"/>
      <w:marLeft w:val="0"/>
      <w:marRight w:val="0"/>
      <w:marTop w:val="0"/>
      <w:marBottom w:val="0"/>
      <w:divBdr>
        <w:top w:val="none" w:sz="0" w:space="0" w:color="auto"/>
        <w:left w:val="none" w:sz="0" w:space="0" w:color="auto"/>
        <w:bottom w:val="none" w:sz="0" w:space="0" w:color="auto"/>
        <w:right w:val="none" w:sz="0" w:space="0" w:color="auto"/>
      </w:divBdr>
    </w:div>
    <w:div w:id="1166743436">
      <w:bodyDiv w:val="1"/>
      <w:marLeft w:val="0"/>
      <w:marRight w:val="0"/>
      <w:marTop w:val="0"/>
      <w:marBottom w:val="0"/>
      <w:divBdr>
        <w:top w:val="none" w:sz="0" w:space="0" w:color="auto"/>
        <w:left w:val="none" w:sz="0" w:space="0" w:color="auto"/>
        <w:bottom w:val="none" w:sz="0" w:space="0" w:color="auto"/>
        <w:right w:val="none" w:sz="0" w:space="0" w:color="auto"/>
      </w:divBdr>
    </w:div>
    <w:div w:id="1176962185">
      <w:bodyDiv w:val="1"/>
      <w:marLeft w:val="0"/>
      <w:marRight w:val="0"/>
      <w:marTop w:val="0"/>
      <w:marBottom w:val="0"/>
      <w:divBdr>
        <w:top w:val="none" w:sz="0" w:space="0" w:color="auto"/>
        <w:left w:val="none" w:sz="0" w:space="0" w:color="auto"/>
        <w:bottom w:val="none" w:sz="0" w:space="0" w:color="auto"/>
        <w:right w:val="none" w:sz="0" w:space="0" w:color="auto"/>
      </w:divBdr>
    </w:div>
    <w:div w:id="1205367024">
      <w:bodyDiv w:val="1"/>
      <w:marLeft w:val="0"/>
      <w:marRight w:val="0"/>
      <w:marTop w:val="0"/>
      <w:marBottom w:val="0"/>
      <w:divBdr>
        <w:top w:val="none" w:sz="0" w:space="0" w:color="auto"/>
        <w:left w:val="none" w:sz="0" w:space="0" w:color="auto"/>
        <w:bottom w:val="none" w:sz="0" w:space="0" w:color="auto"/>
        <w:right w:val="none" w:sz="0" w:space="0" w:color="auto"/>
      </w:divBdr>
    </w:div>
    <w:div w:id="1214537320">
      <w:bodyDiv w:val="1"/>
      <w:marLeft w:val="0"/>
      <w:marRight w:val="0"/>
      <w:marTop w:val="0"/>
      <w:marBottom w:val="0"/>
      <w:divBdr>
        <w:top w:val="none" w:sz="0" w:space="0" w:color="auto"/>
        <w:left w:val="none" w:sz="0" w:space="0" w:color="auto"/>
        <w:bottom w:val="none" w:sz="0" w:space="0" w:color="auto"/>
        <w:right w:val="none" w:sz="0" w:space="0" w:color="auto"/>
      </w:divBdr>
    </w:div>
    <w:div w:id="1223325927">
      <w:bodyDiv w:val="1"/>
      <w:marLeft w:val="0"/>
      <w:marRight w:val="0"/>
      <w:marTop w:val="0"/>
      <w:marBottom w:val="0"/>
      <w:divBdr>
        <w:top w:val="none" w:sz="0" w:space="0" w:color="auto"/>
        <w:left w:val="none" w:sz="0" w:space="0" w:color="auto"/>
        <w:bottom w:val="none" w:sz="0" w:space="0" w:color="auto"/>
        <w:right w:val="none" w:sz="0" w:space="0" w:color="auto"/>
      </w:divBdr>
    </w:div>
    <w:div w:id="1272863154">
      <w:bodyDiv w:val="1"/>
      <w:marLeft w:val="0"/>
      <w:marRight w:val="0"/>
      <w:marTop w:val="0"/>
      <w:marBottom w:val="0"/>
      <w:divBdr>
        <w:top w:val="none" w:sz="0" w:space="0" w:color="auto"/>
        <w:left w:val="none" w:sz="0" w:space="0" w:color="auto"/>
        <w:bottom w:val="none" w:sz="0" w:space="0" w:color="auto"/>
        <w:right w:val="none" w:sz="0" w:space="0" w:color="auto"/>
      </w:divBdr>
    </w:div>
    <w:div w:id="1312100034">
      <w:bodyDiv w:val="1"/>
      <w:marLeft w:val="0"/>
      <w:marRight w:val="0"/>
      <w:marTop w:val="0"/>
      <w:marBottom w:val="0"/>
      <w:divBdr>
        <w:top w:val="none" w:sz="0" w:space="0" w:color="auto"/>
        <w:left w:val="none" w:sz="0" w:space="0" w:color="auto"/>
        <w:bottom w:val="none" w:sz="0" w:space="0" w:color="auto"/>
        <w:right w:val="none" w:sz="0" w:space="0" w:color="auto"/>
      </w:divBdr>
    </w:div>
    <w:div w:id="1319726302">
      <w:bodyDiv w:val="1"/>
      <w:marLeft w:val="0"/>
      <w:marRight w:val="0"/>
      <w:marTop w:val="0"/>
      <w:marBottom w:val="0"/>
      <w:divBdr>
        <w:top w:val="none" w:sz="0" w:space="0" w:color="auto"/>
        <w:left w:val="none" w:sz="0" w:space="0" w:color="auto"/>
        <w:bottom w:val="none" w:sz="0" w:space="0" w:color="auto"/>
        <w:right w:val="none" w:sz="0" w:space="0" w:color="auto"/>
      </w:divBdr>
    </w:div>
    <w:div w:id="1382435293">
      <w:bodyDiv w:val="1"/>
      <w:marLeft w:val="0"/>
      <w:marRight w:val="0"/>
      <w:marTop w:val="0"/>
      <w:marBottom w:val="0"/>
      <w:divBdr>
        <w:top w:val="none" w:sz="0" w:space="0" w:color="auto"/>
        <w:left w:val="none" w:sz="0" w:space="0" w:color="auto"/>
        <w:bottom w:val="none" w:sz="0" w:space="0" w:color="auto"/>
        <w:right w:val="none" w:sz="0" w:space="0" w:color="auto"/>
      </w:divBdr>
    </w:div>
    <w:div w:id="1387072160">
      <w:bodyDiv w:val="1"/>
      <w:marLeft w:val="0"/>
      <w:marRight w:val="0"/>
      <w:marTop w:val="0"/>
      <w:marBottom w:val="0"/>
      <w:divBdr>
        <w:top w:val="none" w:sz="0" w:space="0" w:color="auto"/>
        <w:left w:val="none" w:sz="0" w:space="0" w:color="auto"/>
        <w:bottom w:val="none" w:sz="0" w:space="0" w:color="auto"/>
        <w:right w:val="none" w:sz="0" w:space="0" w:color="auto"/>
      </w:divBdr>
    </w:div>
    <w:div w:id="1393583879">
      <w:bodyDiv w:val="1"/>
      <w:marLeft w:val="0"/>
      <w:marRight w:val="0"/>
      <w:marTop w:val="0"/>
      <w:marBottom w:val="0"/>
      <w:divBdr>
        <w:top w:val="none" w:sz="0" w:space="0" w:color="auto"/>
        <w:left w:val="none" w:sz="0" w:space="0" w:color="auto"/>
        <w:bottom w:val="none" w:sz="0" w:space="0" w:color="auto"/>
        <w:right w:val="none" w:sz="0" w:space="0" w:color="auto"/>
      </w:divBdr>
    </w:div>
    <w:div w:id="1404527477">
      <w:bodyDiv w:val="1"/>
      <w:marLeft w:val="0"/>
      <w:marRight w:val="0"/>
      <w:marTop w:val="0"/>
      <w:marBottom w:val="0"/>
      <w:divBdr>
        <w:top w:val="none" w:sz="0" w:space="0" w:color="auto"/>
        <w:left w:val="none" w:sz="0" w:space="0" w:color="auto"/>
        <w:bottom w:val="none" w:sz="0" w:space="0" w:color="auto"/>
        <w:right w:val="none" w:sz="0" w:space="0" w:color="auto"/>
      </w:divBdr>
    </w:div>
    <w:div w:id="1411732875">
      <w:bodyDiv w:val="1"/>
      <w:marLeft w:val="0"/>
      <w:marRight w:val="0"/>
      <w:marTop w:val="0"/>
      <w:marBottom w:val="0"/>
      <w:divBdr>
        <w:top w:val="none" w:sz="0" w:space="0" w:color="auto"/>
        <w:left w:val="none" w:sz="0" w:space="0" w:color="auto"/>
        <w:bottom w:val="none" w:sz="0" w:space="0" w:color="auto"/>
        <w:right w:val="none" w:sz="0" w:space="0" w:color="auto"/>
      </w:divBdr>
    </w:div>
    <w:div w:id="1417559340">
      <w:bodyDiv w:val="1"/>
      <w:marLeft w:val="0"/>
      <w:marRight w:val="0"/>
      <w:marTop w:val="0"/>
      <w:marBottom w:val="0"/>
      <w:divBdr>
        <w:top w:val="none" w:sz="0" w:space="0" w:color="auto"/>
        <w:left w:val="none" w:sz="0" w:space="0" w:color="auto"/>
        <w:bottom w:val="none" w:sz="0" w:space="0" w:color="auto"/>
        <w:right w:val="none" w:sz="0" w:space="0" w:color="auto"/>
      </w:divBdr>
    </w:div>
    <w:div w:id="1437797743">
      <w:bodyDiv w:val="1"/>
      <w:marLeft w:val="0"/>
      <w:marRight w:val="0"/>
      <w:marTop w:val="0"/>
      <w:marBottom w:val="0"/>
      <w:divBdr>
        <w:top w:val="none" w:sz="0" w:space="0" w:color="auto"/>
        <w:left w:val="none" w:sz="0" w:space="0" w:color="auto"/>
        <w:bottom w:val="none" w:sz="0" w:space="0" w:color="auto"/>
        <w:right w:val="none" w:sz="0" w:space="0" w:color="auto"/>
      </w:divBdr>
    </w:div>
    <w:div w:id="1464694063">
      <w:bodyDiv w:val="1"/>
      <w:marLeft w:val="0"/>
      <w:marRight w:val="0"/>
      <w:marTop w:val="0"/>
      <w:marBottom w:val="0"/>
      <w:divBdr>
        <w:top w:val="none" w:sz="0" w:space="0" w:color="auto"/>
        <w:left w:val="none" w:sz="0" w:space="0" w:color="auto"/>
        <w:bottom w:val="none" w:sz="0" w:space="0" w:color="auto"/>
        <w:right w:val="none" w:sz="0" w:space="0" w:color="auto"/>
      </w:divBdr>
    </w:div>
    <w:div w:id="1470707008">
      <w:bodyDiv w:val="1"/>
      <w:marLeft w:val="0"/>
      <w:marRight w:val="0"/>
      <w:marTop w:val="0"/>
      <w:marBottom w:val="0"/>
      <w:divBdr>
        <w:top w:val="none" w:sz="0" w:space="0" w:color="auto"/>
        <w:left w:val="none" w:sz="0" w:space="0" w:color="auto"/>
        <w:bottom w:val="none" w:sz="0" w:space="0" w:color="auto"/>
        <w:right w:val="none" w:sz="0" w:space="0" w:color="auto"/>
      </w:divBdr>
    </w:div>
    <w:div w:id="1478648043">
      <w:bodyDiv w:val="1"/>
      <w:marLeft w:val="0"/>
      <w:marRight w:val="0"/>
      <w:marTop w:val="0"/>
      <w:marBottom w:val="0"/>
      <w:divBdr>
        <w:top w:val="none" w:sz="0" w:space="0" w:color="auto"/>
        <w:left w:val="none" w:sz="0" w:space="0" w:color="auto"/>
        <w:bottom w:val="none" w:sz="0" w:space="0" w:color="auto"/>
        <w:right w:val="none" w:sz="0" w:space="0" w:color="auto"/>
      </w:divBdr>
    </w:div>
    <w:div w:id="1524052308">
      <w:bodyDiv w:val="1"/>
      <w:marLeft w:val="0"/>
      <w:marRight w:val="0"/>
      <w:marTop w:val="0"/>
      <w:marBottom w:val="0"/>
      <w:divBdr>
        <w:top w:val="none" w:sz="0" w:space="0" w:color="auto"/>
        <w:left w:val="none" w:sz="0" w:space="0" w:color="auto"/>
        <w:bottom w:val="none" w:sz="0" w:space="0" w:color="auto"/>
        <w:right w:val="none" w:sz="0" w:space="0" w:color="auto"/>
      </w:divBdr>
    </w:div>
    <w:div w:id="1550527718">
      <w:bodyDiv w:val="1"/>
      <w:marLeft w:val="0"/>
      <w:marRight w:val="0"/>
      <w:marTop w:val="0"/>
      <w:marBottom w:val="0"/>
      <w:divBdr>
        <w:top w:val="none" w:sz="0" w:space="0" w:color="auto"/>
        <w:left w:val="none" w:sz="0" w:space="0" w:color="auto"/>
        <w:bottom w:val="none" w:sz="0" w:space="0" w:color="auto"/>
        <w:right w:val="none" w:sz="0" w:space="0" w:color="auto"/>
      </w:divBdr>
    </w:div>
    <w:div w:id="1574661525">
      <w:bodyDiv w:val="1"/>
      <w:marLeft w:val="0"/>
      <w:marRight w:val="0"/>
      <w:marTop w:val="0"/>
      <w:marBottom w:val="0"/>
      <w:divBdr>
        <w:top w:val="none" w:sz="0" w:space="0" w:color="auto"/>
        <w:left w:val="none" w:sz="0" w:space="0" w:color="auto"/>
        <w:bottom w:val="none" w:sz="0" w:space="0" w:color="auto"/>
        <w:right w:val="none" w:sz="0" w:space="0" w:color="auto"/>
      </w:divBdr>
    </w:div>
    <w:div w:id="1582982151">
      <w:bodyDiv w:val="1"/>
      <w:marLeft w:val="0"/>
      <w:marRight w:val="0"/>
      <w:marTop w:val="0"/>
      <w:marBottom w:val="0"/>
      <w:divBdr>
        <w:top w:val="none" w:sz="0" w:space="0" w:color="auto"/>
        <w:left w:val="none" w:sz="0" w:space="0" w:color="auto"/>
        <w:bottom w:val="none" w:sz="0" w:space="0" w:color="auto"/>
        <w:right w:val="none" w:sz="0" w:space="0" w:color="auto"/>
      </w:divBdr>
    </w:div>
    <w:div w:id="1586189484">
      <w:bodyDiv w:val="1"/>
      <w:marLeft w:val="0"/>
      <w:marRight w:val="0"/>
      <w:marTop w:val="0"/>
      <w:marBottom w:val="0"/>
      <w:divBdr>
        <w:top w:val="none" w:sz="0" w:space="0" w:color="auto"/>
        <w:left w:val="none" w:sz="0" w:space="0" w:color="auto"/>
        <w:bottom w:val="none" w:sz="0" w:space="0" w:color="auto"/>
        <w:right w:val="none" w:sz="0" w:space="0" w:color="auto"/>
      </w:divBdr>
    </w:div>
    <w:div w:id="1628006264">
      <w:bodyDiv w:val="1"/>
      <w:marLeft w:val="0"/>
      <w:marRight w:val="0"/>
      <w:marTop w:val="0"/>
      <w:marBottom w:val="0"/>
      <w:divBdr>
        <w:top w:val="none" w:sz="0" w:space="0" w:color="auto"/>
        <w:left w:val="none" w:sz="0" w:space="0" w:color="auto"/>
        <w:bottom w:val="none" w:sz="0" w:space="0" w:color="auto"/>
        <w:right w:val="none" w:sz="0" w:space="0" w:color="auto"/>
      </w:divBdr>
    </w:div>
    <w:div w:id="1631276252">
      <w:bodyDiv w:val="1"/>
      <w:marLeft w:val="0"/>
      <w:marRight w:val="0"/>
      <w:marTop w:val="0"/>
      <w:marBottom w:val="0"/>
      <w:divBdr>
        <w:top w:val="none" w:sz="0" w:space="0" w:color="auto"/>
        <w:left w:val="none" w:sz="0" w:space="0" w:color="auto"/>
        <w:bottom w:val="none" w:sz="0" w:space="0" w:color="auto"/>
        <w:right w:val="none" w:sz="0" w:space="0" w:color="auto"/>
      </w:divBdr>
    </w:div>
    <w:div w:id="1648587002">
      <w:bodyDiv w:val="1"/>
      <w:marLeft w:val="0"/>
      <w:marRight w:val="0"/>
      <w:marTop w:val="0"/>
      <w:marBottom w:val="0"/>
      <w:divBdr>
        <w:top w:val="none" w:sz="0" w:space="0" w:color="auto"/>
        <w:left w:val="none" w:sz="0" w:space="0" w:color="auto"/>
        <w:bottom w:val="none" w:sz="0" w:space="0" w:color="auto"/>
        <w:right w:val="none" w:sz="0" w:space="0" w:color="auto"/>
      </w:divBdr>
    </w:div>
    <w:div w:id="1657100746">
      <w:bodyDiv w:val="1"/>
      <w:marLeft w:val="0"/>
      <w:marRight w:val="0"/>
      <w:marTop w:val="0"/>
      <w:marBottom w:val="0"/>
      <w:divBdr>
        <w:top w:val="none" w:sz="0" w:space="0" w:color="auto"/>
        <w:left w:val="none" w:sz="0" w:space="0" w:color="auto"/>
        <w:bottom w:val="none" w:sz="0" w:space="0" w:color="auto"/>
        <w:right w:val="none" w:sz="0" w:space="0" w:color="auto"/>
      </w:divBdr>
    </w:div>
    <w:div w:id="1677149710">
      <w:bodyDiv w:val="1"/>
      <w:marLeft w:val="0"/>
      <w:marRight w:val="0"/>
      <w:marTop w:val="0"/>
      <w:marBottom w:val="0"/>
      <w:divBdr>
        <w:top w:val="none" w:sz="0" w:space="0" w:color="auto"/>
        <w:left w:val="none" w:sz="0" w:space="0" w:color="auto"/>
        <w:bottom w:val="none" w:sz="0" w:space="0" w:color="auto"/>
        <w:right w:val="none" w:sz="0" w:space="0" w:color="auto"/>
      </w:divBdr>
      <w:divsChild>
        <w:div w:id="419571967">
          <w:marLeft w:val="0"/>
          <w:marRight w:val="0"/>
          <w:marTop w:val="0"/>
          <w:marBottom w:val="0"/>
          <w:divBdr>
            <w:top w:val="none" w:sz="0" w:space="0" w:color="auto"/>
            <w:left w:val="none" w:sz="0" w:space="0" w:color="auto"/>
            <w:bottom w:val="none" w:sz="0" w:space="0" w:color="auto"/>
            <w:right w:val="none" w:sz="0" w:space="0" w:color="auto"/>
          </w:divBdr>
        </w:div>
      </w:divsChild>
    </w:div>
    <w:div w:id="1679191088">
      <w:bodyDiv w:val="1"/>
      <w:marLeft w:val="0"/>
      <w:marRight w:val="0"/>
      <w:marTop w:val="0"/>
      <w:marBottom w:val="0"/>
      <w:divBdr>
        <w:top w:val="none" w:sz="0" w:space="0" w:color="auto"/>
        <w:left w:val="none" w:sz="0" w:space="0" w:color="auto"/>
        <w:bottom w:val="none" w:sz="0" w:space="0" w:color="auto"/>
        <w:right w:val="none" w:sz="0" w:space="0" w:color="auto"/>
      </w:divBdr>
    </w:div>
    <w:div w:id="1715349134">
      <w:bodyDiv w:val="1"/>
      <w:marLeft w:val="0"/>
      <w:marRight w:val="0"/>
      <w:marTop w:val="0"/>
      <w:marBottom w:val="0"/>
      <w:divBdr>
        <w:top w:val="none" w:sz="0" w:space="0" w:color="auto"/>
        <w:left w:val="none" w:sz="0" w:space="0" w:color="auto"/>
        <w:bottom w:val="none" w:sz="0" w:space="0" w:color="auto"/>
        <w:right w:val="none" w:sz="0" w:space="0" w:color="auto"/>
      </w:divBdr>
    </w:div>
    <w:div w:id="1726564960">
      <w:bodyDiv w:val="1"/>
      <w:marLeft w:val="0"/>
      <w:marRight w:val="0"/>
      <w:marTop w:val="0"/>
      <w:marBottom w:val="0"/>
      <w:divBdr>
        <w:top w:val="none" w:sz="0" w:space="0" w:color="auto"/>
        <w:left w:val="none" w:sz="0" w:space="0" w:color="auto"/>
        <w:bottom w:val="none" w:sz="0" w:space="0" w:color="auto"/>
        <w:right w:val="none" w:sz="0" w:space="0" w:color="auto"/>
      </w:divBdr>
    </w:div>
    <w:div w:id="1738479795">
      <w:bodyDiv w:val="1"/>
      <w:marLeft w:val="0"/>
      <w:marRight w:val="0"/>
      <w:marTop w:val="0"/>
      <w:marBottom w:val="0"/>
      <w:divBdr>
        <w:top w:val="none" w:sz="0" w:space="0" w:color="auto"/>
        <w:left w:val="none" w:sz="0" w:space="0" w:color="auto"/>
        <w:bottom w:val="none" w:sz="0" w:space="0" w:color="auto"/>
        <w:right w:val="none" w:sz="0" w:space="0" w:color="auto"/>
      </w:divBdr>
    </w:div>
    <w:div w:id="1743521858">
      <w:bodyDiv w:val="1"/>
      <w:marLeft w:val="0"/>
      <w:marRight w:val="0"/>
      <w:marTop w:val="0"/>
      <w:marBottom w:val="0"/>
      <w:divBdr>
        <w:top w:val="none" w:sz="0" w:space="0" w:color="auto"/>
        <w:left w:val="none" w:sz="0" w:space="0" w:color="auto"/>
        <w:bottom w:val="none" w:sz="0" w:space="0" w:color="auto"/>
        <w:right w:val="none" w:sz="0" w:space="0" w:color="auto"/>
      </w:divBdr>
    </w:div>
    <w:div w:id="1752501879">
      <w:bodyDiv w:val="1"/>
      <w:marLeft w:val="0"/>
      <w:marRight w:val="0"/>
      <w:marTop w:val="0"/>
      <w:marBottom w:val="0"/>
      <w:divBdr>
        <w:top w:val="none" w:sz="0" w:space="0" w:color="auto"/>
        <w:left w:val="none" w:sz="0" w:space="0" w:color="auto"/>
        <w:bottom w:val="none" w:sz="0" w:space="0" w:color="auto"/>
        <w:right w:val="none" w:sz="0" w:space="0" w:color="auto"/>
      </w:divBdr>
    </w:div>
    <w:div w:id="1783760888">
      <w:bodyDiv w:val="1"/>
      <w:marLeft w:val="0"/>
      <w:marRight w:val="0"/>
      <w:marTop w:val="0"/>
      <w:marBottom w:val="0"/>
      <w:divBdr>
        <w:top w:val="none" w:sz="0" w:space="0" w:color="auto"/>
        <w:left w:val="none" w:sz="0" w:space="0" w:color="auto"/>
        <w:bottom w:val="none" w:sz="0" w:space="0" w:color="auto"/>
        <w:right w:val="none" w:sz="0" w:space="0" w:color="auto"/>
      </w:divBdr>
    </w:div>
    <w:div w:id="1789621039">
      <w:bodyDiv w:val="1"/>
      <w:marLeft w:val="0"/>
      <w:marRight w:val="0"/>
      <w:marTop w:val="0"/>
      <w:marBottom w:val="0"/>
      <w:divBdr>
        <w:top w:val="none" w:sz="0" w:space="0" w:color="auto"/>
        <w:left w:val="none" w:sz="0" w:space="0" w:color="auto"/>
        <w:bottom w:val="none" w:sz="0" w:space="0" w:color="auto"/>
        <w:right w:val="none" w:sz="0" w:space="0" w:color="auto"/>
      </w:divBdr>
    </w:div>
    <w:div w:id="1868830152">
      <w:bodyDiv w:val="1"/>
      <w:marLeft w:val="0"/>
      <w:marRight w:val="0"/>
      <w:marTop w:val="0"/>
      <w:marBottom w:val="0"/>
      <w:divBdr>
        <w:top w:val="none" w:sz="0" w:space="0" w:color="auto"/>
        <w:left w:val="none" w:sz="0" w:space="0" w:color="auto"/>
        <w:bottom w:val="none" w:sz="0" w:space="0" w:color="auto"/>
        <w:right w:val="none" w:sz="0" w:space="0" w:color="auto"/>
      </w:divBdr>
    </w:div>
    <w:div w:id="1891108639">
      <w:bodyDiv w:val="1"/>
      <w:marLeft w:val="0"/>
      <w:marRight w:val="0"/>
      <w:marTop w:val="0"/>
      <w:marBottom w:val="0"/>
      <w:divBdr>
        <w:top w:val="none" w:sz="0" w:space="0" w:color="auto"/>
        <w:left w:val="none" w:sz="0" w:space="0" w:color="auto"/>
        <w:bottom w:val="none" w:sz="0" w:space="0" w:color="auto"/>
        <w:right w:val="none" w:sz="0" w:space="0" w:color="auto"/>
      </w:divBdr>
    </w:div>
    <w:div w:id="1906601391">
      <w:bodyDiv w:val="1"/>
      <w:marLeft w:val="0"/>
      <w:marRight w:val="0"/>
      <w:marTop w:val="0"/>
      <w:marBottom w:val="0"/>
      <w:divBdr>
        <w:top w:val="none" w:sz="0" w:space="0" w:color="auto"/>
        <w:left w:val="none" w:sz="0" w:space="0" w:color="auto"/>
        <w:bottom w:val="none" w:sz="0" w:space="0" w:color="auto"/>
        <w:right w:val="none" w:sz="0" w:space="0" w:color="auto"/>
      </w:divBdr>
    </w:div>
    <w:div w:id="1921331264">
      <w:bodyDiv w:val="1"/>
      <w:marLeft w:val="0"/>
      <w:marRight w:val="0"/>
      <w:marTop w:val="0"/>
      <w:marBottom w:val="0"/>
      <w:divBdr>
        <w:top w:val="none" w:sz="0" w:space="0" w:color="auto"/>
        <w:left w:val="none" w:sz="0" w:space="0" w:color="auto"/>
        <w:bottom w:val="none" w:sz="0" w:space="0" w:color="auto"/>
        <w:right w:val="none" w:sz="0" w:space="0" w:color="auto"/>
      </w:divBdr>
    </w:div>
    <w:div w:id="1924795167">
      <w:bodyDiv w:val="1"/>
      <w:marLeft w:val="0"/>
      <w:marRight w:val="0"/>
      <w:marTop w:val="0"/>
      <w:marBottom w:val="0"/>
      <w:divBdr>
        <w:top w:val="none" w:sz="0" w:space="0" w:color="auto"/>
        <w:left w:val="none" w:sz="0" w:space="0" w:color="auto"/>
        <w:bottom w:val="none" w:sz="0" w:space="0" w:color="auto"/>
        <w:right w:val="none" w:sz="0" w:space="0" w:color="auto"/>
      </w:divBdr>
    </w:div>
    <w:div w:id="1924949889">
      <w:bodyDiv w:val="1"/>
      <w:marLeft w:val="0"/>
      <w:marRight w:val="0"/>
      <w:marTop w:val="0"/>
      <w:marBottom w:val="0"/>
      <w:divBdr>
        <w:top w:val="none" w:sz="0" w:space="0" w:color="auto"/>
        <w:left w:val="none" w:sz="0" w:space="0" w:color="auto"/>
        <w:bottom w:val="none" w:sz="0" w:space="0" w:color="auto"/>
        <w:right w:val="none" w:sz="0" w:space="0" w:color="auto"/>
      </w:divBdr>
    </w:div>
    <w:div w:id="1928539280">
      <w:bodyDiv w:val="1"/>
      <w:marLeft w:val="0"/>
      <w:marRight w:val="0"/>
      <w:marTop w:val="0"/>
      <w:marBottom w:val="0"/>
      <w:divBdr>
        <w:top w:val="none" w:sz="0" w:space="0" w:color="auto"/>
        <w:left w:val="none" w:sz="0" w:space="0" w:color="auto"/>
        <w:bottom w:val="none" w:sz="0" w:space="0" w:color="auto"/>
        <w:right w:val="none" w:sz="0" w:space="0" w:color="auto"/>
      </w:divBdr>
    </w:div>
    <w:div w:id="1935018453">
      <w:bodyDiv w:val="1"/>
      <w:marLeft w:val="0"/>
      <w:marRight w:val="0"/>
      <w:marTop w:val="0"/>
      <w:marBottom w:val="0"/>
      <w:divBdr>
        <w:top w:val="none" w:sz="0" w:space="0" w:color="auto"/>
        <w:left w:val="none" w:sz="0" w:space="0" w:color="auto"/>
        <w:bottom w:val="none" w:sz="0" w:space="0" w:color="auto"/>
        <w:right w:val="none" w:sz="0" w:space="0" w:color="auto"/>
      </w:divBdr>
    </w:div>
    <w:div w:id="1963071999">
      <w:bodyDiv w:val="1"/>
      <w:marLeft w:val="0"/>
      <w:marRight w:val="0"/>
      <w:marTop w:val="0"/>
      <w:marBottom w:val="0"/>
      <w:divBdr>
        <w:top w:val="none" w:sz="0" w:space="0" w:color="auto"/>
        <w:left w:val="none" w:sz="0" w:space="0" w:color="auto"/>
        <w:bottom w:val="none" w:sz="0" w:space="0" w:color="auto"/>
        <w:right w:val="none" w:sz="0" w:space="0" w:color="auto"/>
      </w:divBdr>
    </w:div>
    <w:div w:id="1968316906">
      <w:bodyDiv w:val="1"/>
      <w:marLeft w:val="0"/>
      <w:marRight w:val="0"/>
      <w:marTop w:val="0"/>
      <w:marBottom w:val="0"/>
      <w:divBdr>
        <w:top w:val="none" w:sz="0" w:space="0" w:color="auto"/>
        <w:left w:val="none" w:sz="0" w:space="0" w:color="auto"/>
        <w:bottom w:val="none" w:sz="0" w:space="0" w:color="auto"/>
        <w:right w:val="none" w:sz="0" w:space="0" w:color="auto"/>
      </w:divBdr>
    </w:div>
    <w:div w:id="1980770269">
      <w:bodyDiv w:val="1"/>
      <w:marLeft w:val="0"/>
      <w:marRight w:val="0"/>
      <w:marTop w:val="0"/>
      <w:marBottom w:val="0"/>
      <w:divBdr>
        <w:top w:val="none" w:sz="0" w:space="0" w:color="auto"/>
        <w:left w:val="none" w:sz="0" w:space="0" w:color="auto"/>
        <w:bottom w:val="none" w:sz="0" w:space="0" w:color="auto"/>
        <w:right w:val="none" w:sz="0" w:space="0" w:color="auto"/>
      </w:divBdr>
    </w:div>
    <w:div w:id="1988053664">
      <w:bodyDiv w:val="1"/>
      <w:marLeft w:val="0"/>
      <w:marRight w:val="0"/>
      <w:marTop w:val="0"/>
      <w:marBottom w:val="0"/>
      <w:divBdr>
        <w:top w:val="none" w:sz="0" w:space="0" w:color="auto"/>
        <w:left w:val="none" w:sz="0" w:space="0" w:color="auto"/>
        <w:bottom w:val="none" w:sz="0" w:space="0" w:color="auto"/>
        <w:right w:val="none" w:sz="0" w:space="0" w:color="auto"/>
      </w:divBdr>
    </w:div>
    <w:div w:id="1995142056">
      <w:bodyDiv w:val="1"/>
      <w:marLeft w:val="0"/>
      <w:marRight w:val="0"/>
      <w:marTop w:val="0"/>
      <w:marBottom w:val="0"/>
      <w:divBdr>
        <w:top w:val="none" w:sz="0" w:space="0" w:color="auto"/>
        <w:left w:val="none" w:sz="0" w:space="0" w:color="auto"/>
        <w:bottom w:val="none" w:sz="0" w:space="0" w:color="auto"/>
        <w:right w:val="none" w:sz="0" w:space="0" w:color="auto"/>
      </w:divBdr>
    </w:div>
    <w:div w:id="2000497121">
      <w:bodyDiv w:val="1"/>
      <w:marLeft w:val="0"/>
      <w:marRight w:val="0"/>
      <w:marTop w:val="0"/>
      <w:marBottom w:val="0"/>
      <w:divBdr>
        <w:top w:val="none" w:sz="0" w:space="0" w:color="auto"/>
        <w:left w:val="none" w:sz="0" w:space="0" w:color="auto"/>
        <w:bottom w:val="none" w:sz="0" w:space="0" w:color="auto"/>
        <w:right w:val="none" w:sz="0" w:space="0" w:color="auto"/>
      </w:divBdr>
    </w:div>
    <w:div w:id="2002350316">
      <w:bodyDiv w:val="1"/>
      <w:marLeft w:val="0"/>
      <w:marRight w:val="0"/>
      <w:marTop w:val="0"/>
      <w:marBottom w:val="0"/>
      <w:divBdr>
        <w:top w:val="none" w:sz="0" w:space="0" w:color="auto"/>
        <w:left w:val="none" w:sz="0" w:space="0" w:color="auto"/>
        <w:bottom w:val="none" w:sz="0" w:space="0" w:color="auto"/>
        <w:right w:val="none" w:sz="0" w:space="0" w:color="auto"/>
      </w:divBdr>
    </w:div>
    <w:div w:id="2032951573">
      <w:bodyDiv w:val="1"/>
      <w:marLeft w:val="0"/>
      <w:marRight w:val="0"/>
      <w:marTop w:val="0"/>
      <w:marBottom w:val="0"/>
      <w:divBdr>
        <w:top w:val="none" w:sz="0" w:space="0" w:color="auto"/>
        <w:left w:val="none" w:sz="0" w:space="0" w:color="auto"/>
        <w:bottom w:val="none" w:sz="0" w:space="0" w:color="auto"/>
        <w:right w:val="none" w:sz="0" w:space="0" w:color="auto"/>
      </w:divBdr>
    </w:div>
    <w:div w:id="2036728361">
      <w:bodyDiv w:val="1"/>
      <w:marLeft w:val="0"/>
      <w:marRight w:val="0"/>
      <w:marTop w:val="0"/>
      <w:marBottom w:val="0"/>
      <w:divBdr>
        <w:top w:val="none" w:sz="0" w:space="0" w:color="auto"/>
        <w:left w:val="none" w:sz="0" w:space="0" w:color="auto"/>
        <w:bottom w:val="none" w:sz="0" w:space="0" w:color="auto"/>
        <w:right w:val="none" w:sz="0" w:space="0" w:color="auto"/>
      </w:divBdr>
    </w:div>
    <w:div w:id="2056152417">
      <w:bodyDiv w:val="1"/>
      <w:marLeft w:val="0"/>
      <w:marRight w:val="0"/>
      <w:marTop w:val="0"/>
      <w:marBottom w:val="0"/>
      <w:divBdr>
        <w:top w:val="none" w:sz="0" w:space="0" w:color="auto"/>
        <w:left w:val="none" w:sz="0" w:space="0" w:color="auto"/>
        <w:bottom w:val="none" w:sz="0" w:space="0" w:color="auto"/>
        <w:right w:val="none" w:sz="0" w:space="0" w:color="auto"/>
      </w:divBdr>
    </w:div>
    <w:div w:id="2061978841">
      <w:bodyDiv w:val="1"/>
      <w:marLeft w:val="0"/>
      <w:marRight w:val="0"/>
      <w:marTop w:val="0"/>
      <w:marBottom w:val="0"/>
      <w:divBdr>
        <w:top w:val="none" w:sz="0" w:space="0" w:color="auto"/>
        <w:left w:val="none" w:sz="0" w:space="0" w:color="auto"/>
        <w:bottom w:val="none" w:sz="0" w:space="0" w:color="auto"/>
        <w:right w:val="none" w:sz="0" w:space="0" w:color="auto"/>
      </w:divBdr>
    </w:div>
    <w:div w:id="2073192698">
      <w:bodyDiv w:val="1"/>
      <w:marLeft w:val="0"/>
      <w:marRight w:val="0"/>
      <w:marTop w:val="0"/>
      <w:marBottom w:val="0"/>
      <w:divBdr>
        <w:top w:val="none" w:sz="0" w:space="0" w:color="auto"/>
        <w:left w:val="none" w:sz="0" w:space="0" w:color="auto"/>
        <w:bottom w:val="none" w:sz="0" w:space="0" w:color="auto"/>
        <w:right w:val="none" w:sz="0" w:space="0" w:color="auto"/>
      </w:divBdr>
    </w:div>
    <w:div w:id="2074428056">
      <w:bodyDiv w:val="1"/>
      <w:marLeft w:val="0"/>
      <w:marRight w:val="0"/>
      <w:marTop w:val="0"/>
      <w:marBottom w:val="0"/>
      <w:divBdr>
        <w:top w:val="none" w:sz="0" w:space="0" w:color="auto"/>
        <w:left w:val="none" w:sz="0" w:space="0" w:color="auto"/>
        <w:bottom w:val="none" w:sz="0" w:space="0" w:color="auto"/>
        <w:right w:val="none" w:sz="0" w:space="0" w:color="auto"/>
      </w:divBdr>
    </w:div>
    <w:div w:id="21117805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7255241"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png"/><Relationship Id="rId36"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4652443" TargetMode="External"/><Relationship Id="rId30" Type="http://schemas.openxmlformats.org/officeDocument/2006/relationships/image" Target="media/image17.jpeg"/><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58E6D6-CFCC-4EAC-BD6C-3B25D18F39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8035</Words>
  <Characters>44196</Characters>
  <Application>Microsoft Office Word</Application>
  <DocSecurity>0</DocSecurity>
  <Lines>368</Lines>
  <Paragraphs>104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David Alejandro Vela Rodriguez</dc:creator>
  <cp:lastModifiedBy>Lorena Inchima Chantre</cp:lastModifiedBy>
  <cp:revision>2</cp:revision>
  <cp:lastPrinted>2025-07-28T16:19:00Z</cp:lastPrinted>
  <dcterms:created xsi:type="dcterms:W3CDTF">2026-06-26T00:36:00Z</dcterms:created>
  <dcterms:modified xsi:type="dcterms:W3CDTF">2026-06-26T00:36:00Z</dcterms:modified>
</cp:coreProperties>
</file>